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346323158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27"/>
          </w:pPr>
          <w:r>
            <w:rPr>
              <w:lang w:val="zh-CN"/>
            </w:rPr>
            <w:t>目录</w:t>
          </w:r>
        </w:p>
        <w:p>
          <w:pPr>
            <w:pStyle w:val="13"/>
            <w:tabs>
              <w:tab w:val="left" w:pos="420"/>
              <w:tab w:val="right" w:leader="dot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"_Toc423889155" </w:instrText>
          </w:r>
          <w:r>
            <w:fldChar w:fldCharType="separate"/>
          </w:r>
          <w:r>
            <w:rPr>
              <w:rStyle w:val="17"/>
            </w:rPr>
            <w:t>1.</w:t>
          </w:r>
          <w:r>
            <w:tab/>
          </w:r>
          <w:r>
            <w:rPr>
              <w:rStyle w:val="17"/>
              <w:rFonts w:hint="eastAsia"/>
            </w:rPr>
            <w:t>校园统一支付平台简介</w:t>
          </w:r>
          <w:r>
            <w:tab/>
          </w:r>
          <w:r>
            <w:fldChar w:fldCharType="begin"/>
          </w:r>
          <w:r>
            <w:instrText xml:space="preserve"> PAGEREF _Toc423889155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left" w:pos="420"/>
              <w:tab w:val="right" w:leader="dot" w:pos="8296"/>
            </w:tabs>
          </w:pPr>
          <w:r>
            <w:fldChar w:fldCharType="begin"/>
          </w:r>
          <w:r>
            <w:instrText xml:space="preserve"> HYPERLINK \l "_Toc423889156" </w:instrText>
          </w:r>
          <w:r>
            <w:fldChar w:fldCharType="separate"/>
          </w:r>
          <w:r>
            <w:rPr>
              <w:rStyle w:val="17"/>
            </w:rPr>
            <w:t>2.</w:t>
          </w:r>
          <w:r>
            <w:tab/>
          </w:r>
          <w:r>
            <w:rPr>
              <w:rStyle w:val="17"/>
              <w:rFonts w:hint="eastAsia"/>
            </w:rPr>
            <w:t>收费管理功能</w:t>
          </w:r>
          <w:r>
            <w:tab/>
          </w:r>
          <w:r>
            <w:fldChar w:fldCharType="begin"/>
          </w:r>
          <w:r>
            <w:instrText xml:space="preserve"> PAGEREF _Toc423889156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left" w:pos="420"/>
              <w:tab w:val="right" w:leader="dot" w:pos="8296"/>
            </w:tabs>
          </w:pPr>
          <w:r>
            <w:fldChar w:fldCharType="begin"/>
          </w:r>
          <w:r>
            <w:instrText xml:space="preserve"> HYPERLINK \l "_Toc423889157" </w:instrText>
          </w:r>
          <w:r>
            <w:fldChar w:fldCharType="separate"/>
          </w:r>
          <w:r>
            <w:rPr>
              <w:rStyle w:val="17"/>
            </w:rPr>
            <w:t>3.</w:t>
          </w:r>
          <w:r>
            <w:tab/>
          </w:r>
          <w:r>
            <w:rPr>
              <w:rStyle w:val="17"/>
              <w:rFonts w:hint="eastAsia"/>
            </w:rPr>
            <w:t>收费业务流程</w:t>
          </w:r>
          <w:r>
            <w:tab/>
          </w:r>
          <w:r>
            <w:fldChar w:fldCharType="begin"/>
          </w:r>
          <w:r>
            <w:instrText xml:space="preserve"> PAGEREF _Toc423889157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left" w:pos="420"/>
              <w:tab w:val="right" w:leader="dot" w:pos="8296"/>
            </w:tabs>
          </w:pPr>
          <w:r>
            <w:fldChar w:fldCharType="begin"/>
          </w:r>
          <w:r>
            <w:instrText xml:space="preserve"> HYPERLINK \l "_Toc423889158" </w:instrText>
          </w:r>
          <w:r>
            <w:fldChar w:fldCharType="separate"/>
          </w:r>
          <w:r>
            <w:rPr>
              <w:rStyle w:val="17"/>
            </w:rPr>
            <w:t>4.</w:t>
          </w:r>
          <w:r>
            <w:tab/>
          </w:r>
          <w:r>
            <w:rPr>
              <w:rStyle w:val="17"/>
              <w:rFonts w:hint="eastAsia"/>
            </w:rPr>
            <w:t>收费业务部门功能使用说明</w:t>
          </w:r>
          <w:r>
            <w:tab/>
          </w:r>
          <w:r>
            <w:fldChar w:fldCharType="begin"/>
          </w:r>
          <w:r>
            <w:instrText xml:space="preserve"> PAGEREF _Toc423889158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050"/>
              <w:tab w:val="right" w:leader="dot" w:pos="8296"/>
            </w:tabs>
          </w:pPr>
          <w:r>
            <w:fldChar w:fldCharType="begin"/>
          </w:r>
          <w:r>
            <w:instrText xml:space="preserve"> HYPERLINK \l "_Toc423889159" </w:instrText>
          </w:r>
          <w:r>
            <w:fldChar w:fldCharType="separate"/>
          </w:r>
          <w:r>
            <w:rPr>
              <w:rStyle w:val="17"/>
            </w:rPr>
            <w:t>4.1</w:t>
          </w:r>
          <w:r>
            <w:tab/>
          </w:r>
          <w:r>
            <w:rPr>
              <w:rStyle w:val="17"/>
              <w:rFonts w:hint="eastAsia"/>
            </w:rPr>
            <w:t>系统登陆</w:t>
          </w:r>
          <w:r>
            <w:tab/>
          </w:r>
          <w:r>
            <w:fldChar w:fldCharType="begin"/>
          </w:r>
          <w:r>
            <w:instrText xml:space="preserve"> PAGEREF _Toc423889159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050"/>
              <w:tab w:val="right" w:leader="dot" w:pos="8296"/>
            </w:tabs>
          </w:pPr>
          <w:r>
            <w:fldChar w:fldCharType="begin"/>
          </w:r>
          <w:r>
            <w:instrText xml:space="preserve"> HYPERLINK \l "_Toc423889160" </w:instrText>
          </w:r>
          <w:r>
            <w:fldChar w:fldCharType="separate"/>
          </w:r>
          <w:r>
            <w:rPr>
              <w:rStyle w:val="17"/>
            </w:rPr>
            <w:t>4.2</w:t>
          </w:r>
          <w:r>
            <w:tab/>
          </w:r>
          <w:r>
            <w:rPr>
              <w:rStyle w:val="17"/>
              <w:rFonts w:hint="eastAsia"/>
            </w:rPr>
            <w:t>收费管理</w:t>
          </w:r>
          <w:r>
            <w:tab/>
          </w:r>
          <w:r>
            <w:fldChar w:fldCharType="begin"/>
          </w:r>
          <w:r>
            <w:instrText xml:space="preserve"> PAGEREF _Toc423889160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1680"/>
              <w:tab w:val="right" w:leader="dot" w:pos="8296"/>
            </w:tabs>
          </w:pPr>
          <w:r>
            <w:fldChar w:fldCharType="begin"/>
          </w:r>
          <w:r>
            <w:instrText xml:space="preserve"> HYPERLINK \l "_Toc423889161" </w:instrText>
          </w:r>
          <w:r>
            <w:fldChar w:fldCharType="separate"/>
          </w:r>
          <w:r>
            <w:rPr>
              <w:rStyle w:val="17"/>
            </w:rPr>
            <w:t>4.2.1</w:t>
          </w:r>
          <w:r>
            <w:tab/>
          </w:r>
          <w:r>
            <w:rPr>
              <w:rStyle w:val="17"/>
              <w:rFonts w:hint="eastAsia"/>
            </w:rPr>
            <w:t>收费项目管理</w:t>
          </w:r>
          <w:r>
            <w:tab/>
          </w:r>
          <w:r>
            <w:fldChar w:fldCharType="begin"/>
          </w:r>
          <w:r>
            <w:instrText xml:space="preserve"> PAGEREF _Toc423889161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1680"/>
              <w:tab w:val="right" w:leader="dot" w:pos="8296"/>
            </w:tabs>
          </w:pPr>
          <w:r>
            <w:fldChar w:fldCharType="begin"/>
          </w:r>
          <w:r>
            <w:instrText xml:space="preserve"> HYPERLINK \l "_Toc423889162" </w:instrText>
          </w:r>
          <w:r>
            <w:fldChar w:fldCharType="separate"/>
          </w:r>
          <w:r>
            <w:rPr>
              <w:rStyle w:val="17"/>
            </w:rPr>
            <w:t>4.2.2</w:t>
          </w:r>
          <w:r>
            <w:tab/>
          </w:r>
          <w:r>
            <w:rPr>
              <w:rStyle w:val="17"/>
              <w:rFonts w:hint="eastAsia"/>
            </w:rPr>
            <w:t>收费批次管理</w:t>
          </w:r>
          <w:r>
            <w:tab/>
          </w:r>
          <w:r>
            <w:fldChar w:fldCharType="begin"/>
          </w:r>
          <w:r>
            <w:instrText xml:space="preserve"> PAGEREF _Toc423889162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050"/>
              <w:tab w:val="right" w:leader="dot" w:pos="8296"/>
            </w:tabs>
          </w:pPr>
          <w:r>
            <w:fldChar w:fldCharType="begin"/>
          </w:r>
          <w:r>
            <w:instrText xml:space="preserve"> HYPERLINK \l "_Toc423889163" </w:instrText>
          </w:r>
          <w:r>
            <w:fldChar w:fldCharType="separate"/>
          </w:r>
          <w:r>
            <w:rPr>
              <w:rStyle w:val="17"/>
            </w:rPr>
            <w:t>4.3</w:t>
          </w:r>
          <w:r>
            <w:tab/>
          </w:r>
          <w:r>
            <w:rPr>
              <w:rStyle w:val="17"/>
              <w:rFonts w:hint="eastAsia"/>
            </w:rPr>
            <w:t>人员管理</w:t>
          </w:r>
          <w:r>
            <w:tab/>
          </w:r>
          <w:r>
            <w:fldChar w:fldCharType="begin"/>
          </w:r>
          <w:r>
            <w:instrText xml:space="preserve"> PAGEREF _Toc423889163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left" w:pos="1050"/>
              <w:tab w:val="right" w:leader="dot" w:pos="8296"/>
            </w:tabs>
          </w:pPr>
          <w:r>
            <w:fldChar w:fldCharType="begin"/>
          </w:r>
          <w:r>
            <w:instrText xml:space="preserve"> HYPERLINK \l "_Toc423889164" </w:instrText>
          </w:r>
          <w:r>
            <w:fldChar w:fldCharType="separate"/>
          </w:r>
          <w:r>
            <w:rPr>
              <w:rStyle w:val="17"/>
            </w:rPr>
            <w:t>4.4</w:t>
          </w:r>
          <w:r>
            <w:tab/>
          </w:r>
          <w:r>
            <w:rPr>
              <w:rStyle w:val="17"/>
              <w:rFonts w:hint="eastAsia"/>
            </w:rPr>
            <w:t>报表查询</w:t>
          </w:r>
          <w:r>
            <w:tab/>
          </w:r>
          <w:r>
            <w:fldChar w:fldCharType="begin"/>
          </w:r>
          <w:r>
            <w:instrText xml:space="preserve"> PAGEREF _Toc423889164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1680"/>
              <w:tab w:val="right" w:leader="dot" w:pos="8296"/>
            </w:tabs>
          </w:pPr>
          <w:r>
            <w:fldChar w:fldCharType="begin"/>
          </w:r>
          <w:r>
            <w:instrText xml:space="preserve"> HYPERLINK \l "_Toc423889165" </w:instrText>
          </w:r>
          <w:r>
            <w:fldChar w:fldCharType="separate"/>
          </w:r>
          <w:r>
            <w:rPr>
              <w:rStyle w:val="17"/>
            </w:rPr>
            <w:t>4.4.1</w:t>
          </w:r>
          <w:r>
            <w:tab/>
          </w:r>
          <w:r>
            <w:rPr>
              <w:rStyle w:val="17"/>
              <w:rFonts w:hint="eastAsia"/>
            </w:rPr>
            <w:t>项目记录汇总</w:t>
          </w:r>
          <w:r>
            <w:tab/>
          </w:r>
          <w:r>
            <w:fldChar w:fldCharType="begin"/>
          </w:r>
          <w:r>
            <w:instrText xml:space="preserve"> PAGEREF _Toc423889165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1680"/>
              <w:tab w:val="right" w:leader="dot" w:pos="8296"/>
            </w:tabs>
          </w:pPr>
          <w:r>
            <w:fldChar w:fldCharType="begin"/>
          </w:r>
          <w:r>
            <w:instrText xml:space="preserve"> HYPERLINK \l "_Toc423889166" </w:instrText>
          </w:r>
          <w:r>
            <w:fldChar w:fldCharType="separate"/>
          </w:r>
          <w:r>
            <w:rPr>
              <w:rStyle w:val="17"/>
            </w:rPr>
            <w:t>4.4.2</w:t>
          </w:r>
          <w:r>
            <w:tab/>
          </w:r>
          <w:r>
            <w:rPr>
              <w:rStyle w:val="17"/>
              <w:rFonts w:hint="eastAsia"/>
            </w:rPr>
            <w:t>收费明细报表</w:t>
          </w:r>
          <w:r>
            <w:tab/>
          </w:r>
          <w:r>
            <w:fldChar w:fldCharType="begin"/>
          </w:r>
          <w:r>
            <w:instrText xml:space="preserve"> PAGEREF _Toc423889166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1680"/>
              <w:tab w:val="right" w:leader="dot" w:pos="8296"/>
            </w:tabs>
          </w:pPr>
          <w:r>
            <w:fldChar w:fldCharType="begin"/>
          </w:r>
          <w:r>
            <w:instrText xml:space="preserve"> HYPERLINK \l "_Toc423889167" </w:instrText>
          </w:r>
          <w:r>
            <w:fldChar w:fldCharType="separate"/>
          </w:r>
          <w:r>
            <w:rPr>
              <w:rStyle w:val="17"/>
            </w:rPr>
            <w:t>4.4.3</w:t>
          </w:r>
          <w:r>
            <w:tab/>
          </w:r>
          <w:r>
            <w:rPr>
              <w:rStyle w:val="17"/>
              <w:rFonts w:hint="eastAsia"/>
            </w:rPr>
            <w:t>收费汇总报表</w:t>
          </w:r>
          <w:r>
            <w:tab/>
          </w:r>
          <w:r>
            <w:fldChar w:fldCharType="begin"/>
          </w:r>
          <w:r>
            <w:instrText xml:space="preserve"> PAGEREF _Toc423889167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校园统一支付平台后台管理使用说明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——收费业务部门</w:t>
      </w:r>
    </w:p>
    <w:p>
      <w:pPr>
        <w:pStyle w:val="2"/>
      </w:pPr>
      <w:bookmarkStart w:id="0" w:name="_Toc423889155"/>
      <w:r>
        <w:rPr>
          <w:rFonts w:hint="eastAsia"/>
        </w:rPr>
        <w:t>校园统一支付平台简介</w:t>
      </w:r>
      <w:bookmarkEnd w:id="0"/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jc w:val="left"/>
        <w:rPr>
          <w:b/>
          <w:szCs w:val="21"/>
        </w:rPr>
      </w:pPr>
      <w:r>
        <w:rPr>
          <w:rFonts w:hint="eastAsia" w:ascii="宋体" w:hAnsi="宋体"/>
          <w:szCs w:val="21"/>
        </w:rPr>
        <w:t>校园统一收费系统目前主要包括在校生学费收费和其他零星收费，实现统一收费、统一支付、统一查询功能，系统为校内外付费用户提供完整一致的支付界面，用户可以查询所有应付项目和已付项目的状况。财务处可以集中监管校内各类收费项目，实时查询统计收费情况，完成银行对帐等处理。收费部门可以经财务处审核后，快速发起、实施收费项目，并实时监控收费状态和进度。</w:t>
      </w:r>
    </w:p>
    <w:p>
      <w:pPr>
        <w:pStyle w:val="2"/>
      </w:pPr>
      <w:bookmarkStart w:id="1" w:name="_Toc423889156"/>
      <w:r>
        <w:rPr>
          <w:rFonts w:hint="eastAsia"/>
        </w:rPr>
        <w:t>收费管理功能</w:t>
      </w:r>
      <w:bookmarkEnd w:id="1"/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收费业务部门人员功能主要包括，收费管理：收费项目管理、收费批次管理，人员管理：收费人员录入和维护，报表管理：管理、查询、监控具体收费批次收费状况等。</w:t>
      </w:r>
    </w:p>
    <w:p>
      <w:pPr>
        <w:pStyle w:val="2"/>
        <w:rPr>
          <w:sz w:val="24"/>
          <w:szCs w:val="24"/>
        </w:rPr>
      </w:pPr>
      <w:bookmarkStart w:id="2" w:name="_Toc423889157"/>
      <w:r>
        <w:rPr>
          <w:rFonts w:hint="eastAsia"/>
        </w:rPr>
        <w:t>收费业务流程</w:t>
      </w:r>
      <w:bookmarkEnd w:id="2"/>
    </w:p>
    <w:p>
      <w:pPr>
        <w:ind w:firstLine="420" w:firstLineChars="200"/>
      </w:pPr>
      <w:r>
        <w:rPr>
          <w:rFonts w:hint="eastAsia"/>
        </w:rPr>
        <w:t>收费部门收费流程：申请收费项目——&gt;等待财务处审批——&gt;使用已审批项目申请收费批次（制定具体交费时间、交费标准等）——&gt;等待财务处审批——&gt;向已审批的收费批次中导入收费人员信息——&gt;监控收费状况——&gt;查询交费结果——&gt;交费结束。如下图：</w:t>
      </w:r>
    </w:p>
    <w:p>
      <w:pPr>
        <w:ind w:firstLine="420" w:firstLineChars="200"/>
        <w:jc w:val="center"/>
      </w:pPr>
      <w:r>
        <w:pict>
          <v:group id="_x0000_s1051" o:spid="_x0000_s1051" o:spt="203" style="height:179.1pt;width:415.3pt;" coordorigin="2362,8732" coordsize="7200,3105" editas="canvas">
            <o:lock v:ext="edit"/>
            <v:shape id="_x0000_s1050" o:spid="_x0000_s1050" o:spt="75" type="#_x0000_t75" style="position:absolute;left:2362;top:8732;height:3105;width:7200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shape id="_x0000_s1064" o:spid="_x0000_s1064" o:spt="202" type="#_x0000_t202" style="position:absolute;left:5067;top:10381;height:509;width:468;" stroked="f" coordsize="21600,21600">
              <v:path/>
              <v:fill focussize="0,0"/>
              <v:stroke on="f" joinstyle="miter"/>
              <v:imagedata o:title=""/>
              <o:lock v:ext="edit"/>
              <v:textbox style="layout-flow:vertical-ideographic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申请</w:t>
                    </w:r>
                  </w:p>
                </w:txbxContent>
              </v:textbox>
            </v:shape>
            <v:shape id="_x0000_s1041" o:spid="_x0000_s1041" o:spt="33" type="#_x0000_t33" style="position:absolute;left:3622;top:10514;height:272;width:1212;rotation:17694720f;" o:connectortype="elbow" filled="f" coordsize="21600,21600" adj="-65093,-720573,-65093">
              <v:path arrowok="t"/>
              <v:fill on="f" focussize="0,0"/>
              <v:stroke endarrow="block"/>
              <v:imagedata o:title=""/>
              <o:lock v:ext="edit"/>
            </v:shape>
            <v:group id="_x0000_s1087" o:spid="_x0000_s1087" o:spt="203" style="position:absolute;left:2362;top:8840;height:2841;width:7200;" coordorigin="2362,8840" coordsize="7200,2841">
              <o:lock v:ext="edit"/>
              <v:rect id="_x0000_s1047" o:spid="_x0000_s1047" o:spt="1" style="position:absolute;left:6317;top:9848;height:390;width:1260;" coordsize="21600,21600">
                <v:path/>
                <v:fill focussize="0,0"/>
                <v:stroke/>
                <v:imagedata o:title=""/>
                <o:lock v:ext="edit"/>
                <v:shadow on="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录入交费人员</w:t>
                      </w:r>
                    </w:p>
                  </w:txbxContent>
                </v:textbox>
              </v:rect>
              <v:shape id="_x0000_s1043" o:spid="_x0000_s1043" o:spt="4" type="#_x0000_t4" style="position:absolute;left:4995;top:10943;height:625;width:1755;" coordsize="21600,21600">
                <v:path/>
                <v:fill focussize="0,0"/>
                <v:stroke joinstyle="miter"/>
                <v:imagedata o:title=""/>
                <o:lock v:ext="edit"/>
                <v:shadow on="t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财务处审批</w:t>
                      </w:r>
                    </w:p>
                  </w:txbxContent>
                </v:textbox>
              </v:shape>
              <v:shape id="_x0000_s1045" o:spid="_x0000_s1045" o:spt="33" type="#_x0000_t33" style="position:absolute;left:5300;top:10369;flip:x;height:247;width:900;rotation:17694720f;" o:connectortype="elbow" filled="f" coordsize="21600,21600" adj="-130515,766535,-130515">
                <v:path arrowok="t"/>
                <v:fill on="f" focussize="0,0"/>
                <v:stroke endarrow="block"/>
                <v:imagedata o:title=""/>
                <o:lock v:ext="edit"/>
              </v:shape>
              <v:rect id="_x0000_s1034" o:spid="_x0000_s1034" o:spt="1" style="position:absolute;left:4364;top:9848;height:390;width:1262;" coordsize="21600,21600">
                <v:path/>
                <v:fill focussize="0,0"/>
                <v:stroke/>
                <v:imagedata o:title=""/>
                <o:lock v:ext="edit"/>
                <v:shadow on="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申请收费批次</w:t>
                      </w:r>
                    </w:p>
                  </w:txbxContent>
                </v:textbox>
              </v:rect>
              <v:shape id="_x0000_s1060" o:spid="_x0000_s1060" o:spt="202" type="#_x0000_t202" style="position:absolute;left:5969;top:10381;height:377;width:231;" stroked="f" coordsize="21600,21600">
                <v:path/>
                <v:fill focussize="0,0"/>
                <v:stroke on="f" color="#FFFFF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  <v:shape id="_x0000_s1061" o:spid="_x0000_s1061" o:spt="202" type="#_x0000_t202" style="position:absolute;left:4207;top:10435;height:377;width:157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  <v:shape id="_x0000_s1062" o:spid="_x0000_s1062" o:spt="202" type="#_x0000_t202" style="position:absolute;left:7031;top:10566;height:377;width:247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  <v:shape id="_x0000_s1073" o:spid="_x0000_s1073" o:spt="32" type="#_x0000_t32" style="position:absolute;left:3324;top:10238;flip:y;height:705;width:1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74" o:spid="_x0000_s1074" o:spt="32" type="#_x0000_t32" style="position:absolute;left:2555;top:10238;height:1017;width:1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75" o:spid="_x0000_s1075" o:spt="202" type="#_x0000_t202" style="position:absolute;left:2614;top:10381;height:509;width:468;" stroked="f" coordsize="21600,21600">
                <v:path/>
                <v:fill focussize="0,0"/>
                <v:stroke on="f" joinstyle="miter"/>
                <v:imagedata o:title=""/>
                <o:lock v:ext="edit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</w:t>
                      </w:r>
                    </w:p>
                  </w:txbxContent>
                </v:textbox>
              </v:shape>
              <v:shape id="_x0000_s1076" o:spid="_x0000_s1076" o:spt="202" type="#_x0000_t202" style="position:absolute;left:5054;top:10381;height:509;width:468;" stroked="f" coordsize="21600,21600">
                <v:path/>
                <v:fill focussize="0,0"/>
                <v:stroke on="f" joinstyle="miter"/>
                <v:imagedata o:title=""/>
                <o:lock v:ext="edit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</w:t>
                      </w:r>
                    </w:p>
                  </w:txbxContent>
                </v:textbox>
              </v:shape>
              <v:shape id="_x0000_s1077" o:spid="_x0000_s1077" o:spt="202" type="#_x0000_t202" style="position:absolute;left:3363;top:10435;height:377;width:139;" stroked="f" coordsize="21600,21600">
                <v:path/>
                <v:fill focussize="0,0"/>
                <v:stroke on="f" color="#FFFFF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  <v:shape id="_x0000_s1027" o:spid="_x0000_s1027" o:spt="4" type="#_x0000_t4" style="position:absolute;left:2556;top:10943;height:624;width:1536;" coordsize="21600,21600">
                <v:path/>
                <v:fill focussize="0,0"/>
                <v:stroke joinstyle="miter"/>
                <v:imagedata o:title=""/>
                <o:lock v:ext="edit"/>
                <v:shadow on="t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5"/>
                        </w:rPr>
                        <w:t>财务处审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批</w:t>
                      </w:r>
                    </w:p>
                  </w:txbxContent>
                </v:textbox>
              </v:shape>
              <v:shape id="_x0000_s1036" o:spid="_x0000_s1036" o:spt="62" type="#_x0000_t62" style="position:absolute;left:4637;top:8840;height:736;width:1795;" coordsize="21600,21600" adj="887,30225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设置收费起止时间、收费金额、收费简介等</w:t>
                      </w:r>
                    </w:p>
                  </w:txbxContent>
                </v:textbox>
              </v:shape>
              <v:rect id="_x0000_s1026" o:spid="_x0000_s1026" o:spt="1" style="position:absolute;left:2362;top:9848;height:390;width:1261;" coordsize="21600,21600">
                <v:path/>
                <v:fill focussize="0,0"/>
                <v:stroke/>
                <v:imagedata o:title=""/>
                <o:lock v:ext="edit"/>
                <v:shadow on="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申请收费项目</w:t>
                      </w:r>
                    </w:p>
                  </w:txbxContent>
                </v:textbox>
              </v:rect>
              <v:rect id="_x0000_s1079" o:spid="_x0000_s1079" o:spt="1" style="position:absolute;left:7187;top:11042;height:639;width:1507;" coordsize="21600,21600">
                <v:path/>
                <v:fill focussize="0,0"/>
                <v:stroke/>
                <v:imagedata o:title=""/>
                <o:lock v:ext="edit"/>
                <v:shadow on="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缴费人员查询欠费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z w:val="18"/>
                          <w:szCs w:val="18"/>
                        </w:rPr>
                        <w:t>缴费</w:t>
                      </w:r>
                    </w:p>
                  </w:txbxContent>
                </v:textbox>
              </v:rect>
              <v:shape id="_x0000_s1081" o:spid="_x0000_s1081" o:spt="33" type="#_x0000_t33" style="position:absolute;left:7577;top:10043;height:999;width:364;" o:connectortype="elbow" filled="f" coordsize="21600,21600" adj="-423977,-170009,-423977">
                <v:path arrowok="t"/>
                <v:fill on="f" focussize="0,0"/>
                <v:stroke endarrow="block"/>
                <v:imagedata o:title=""/>
                <o:lock v:ext="edit"/>
              </v:shape>
              <v:shape id="_x0000_s1083" o:spid="_x0000_s1083" o:spt="32" type="#_x0000_t32" style="position:absolute;left:4995;top:10238;flip:x;height:1018;width:1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1084" o:spid="_x0000_s1084" o:spt="33" type="#_x0000_t33" style="position:absolute;left:6750;top:10238;flip:y;height:1018;width:198;" o:connectortype="elbow" filled="f" coordsize="21600,21600" adj="-690632,192562,-690632">
                <v:path arrowok="t"/>
                <v:fill on="f" focussize="0,0"/>
                <v:stroke endarrow="block"/>
                <v:imagedata o:title=""/>
                <o:lock v:ext="edit"/>
              </v:shape>
              <v:rect id="_x0000_s1085" o:spid="_x0000_s1085" o:spt="1" style="position:absolute;left:8310;top:9779;height:602;width:1252;" coordsize="21600,21600">
                <v:path/>
                <v:fill focussize="0,0"/>
                <v:stroke/>
                <v:imagedata o:title=""/>
                <o:lock v:ext="edit"/>
                <v:shadow on="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监控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z w:val="18"/>
                          <w:szCs w:val="18"/>
                        </w:rPr>
                        <w:t>查询缴费结果</w:t>
                      </w:r>
                    </w:p>
                  </w:txbxContent>
                </v:textbox>
              </v:rect>
              <v:shape id="_x0000_s1086" o:spid="_x0000_s1086" o:spt="33" type="#_x0000_t33" style="position:absolute;left:8694;top:10381;flip:y;height:981;width:242;" o:connectortype="elbow" filled="f" coordsize="21600,21600" adj="-738039,202204,-738039">
                <v:path arrowok="t"/>
                <v:fill on="f" focussize="0,0"/>
                <v:stroke endarrow="block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ind w:firstLine="420" w:firstLineChars="200"/>
        <w:jc w:val="center"/>
      </w:pPr>
      <w:r>
        <w:rPr>
          <w:rFonts w:hint="eastAsia"/>
        </w:rPr>
        <w:t>图：收费部门收费流程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pStyle w:val="2"/>
      </w:pPr>
      <w:bookmarkStart w:id="3" w:name="_Toc423889158"/>
      <w:r>
        <w:rPr>
          <w:rFonts w:hint="eastAsia"/>
        </w:rPr>
        <w:t>收费业务部门功能使用说明</w:t>
      </w:r>
      <w:bookmarkEnd w:id="3"/>
    </w:p>
    <w:p>
      <w:pPr>
        <w:pStyle w:val="4"/>
      </w:pPr>
      <w:bookmarkStart w:id="4" w:name="_Toc423889159"/>
      <w:r>
        <w:rPr>
          <w:rFonts w:hint="eastAsia"/>
        </w:rPr>
        <w:t>系统登陆</w:t>
      </w:r>
      <w:bookmarkEnd w:id="4"/>
    </w:p>
    <w:p>
      <w:pPr>
        <w:pStyle w:val="3"/>
        <w:ind w:left="720" w:firstLine="0" w:firstLineChars="0"/>
        <w:jc w:val="left"/>
        <w:rPr>
          <w:szCs w:val="21"/>
        </w:rPr>
      </w:pPr>
      <w:r>
        <w:rPr>
          <w:rFonts w:hint="eastAsia"/>
          <w:szCs w:val="21"/>
        </w:rPr>
        <w:t>管理后台登陆地址：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HYPERLINK "https://cwc-zfpt.gcu.edu.cn/xysf/ptmain/login.aspx" </w:instrText>
      </w:r>
      <w:r>
        <w:rPr>
          <w:rFonts w:hint="eastAsia"/>
          <w:szCs w:val="21"/>
        </w:rPr>
        <w:fldChar w:fldCharType="separate"/>
      </w:r>
      <w:r>
        <w:rPr>
          <w:rStyle w:val="17"/>
          <w:rFonts w:hint="eastAsia"/>
          <w:szCs w:val="21"/>
        </w:rPr>
        <w:t>https://cwc-zfpt.gcu.edu.cn/xysf/ptmain/login.aspx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，登陆界面如下：</w:t>
      </w:r>
    </w:p>
    <w:p>
      <w:pPr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 w:eastAsiaTheme="minorEastAsia"/>
          <w:szCs w:val="21"/>
          <w:lang w:eastAsia="zh-CN"/>
        </w:rPr>
        <w:drawing>
          <wp:inline distT="0" distB="0" distL="114300" distR="114300">
            <wp:extent cx="5272405" cy="4043680"/>
            <wp:effectExtent l="0" t="0" r="4445" b="13970"/>
            <wp:docPr id="3" name="图片 3" descr="16467035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70355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 4.1-1 系统管理登陆</w:t>
      </w:r>
    </w:p>
    <w:p>
      <w:pPr>
        <w:pStyle w:val="4"/>
        <w:numPr>
          <w:ilvl w:val="0"/>
          <w:numId w:val="0"/>
        </w:numPr>
        <w:ind w:left="720"/>
      </w:pPr>
      <w:bookmarkStart w:id="5" w:name="_Toc423889160"/>
      <w:bookmarkStart w:id="13" w:name="_GoBack"/>
      <w:bookmarkEnd w:id="13"/>
      <w:r>
        <w:rPr>
          <w:rFonts w:hint="eastAsia"/>
        </w:rPr>
        <w:t>收费管理</w:t>
      </w:r>
      <w:bookmarkEnd w:id="5"/>
    </w:p>
    <w:p>
      <w:pPr>
        <w:pStyle w:val="3"/>
        <w:ind w:left="720" w:firstLine="0" w:firstLineChars="0"/>
        <w:jc w:val="left"/>
        <w:rPr>
          <w:szCs w:val="21"/>
        </w:rPr>
      </w:pPr>
      <w:r>
        <w:rPr>
          <w:rFonts w:hint="eastAsia"/>
          <w:szCs w:val="21"/>
        </w:rPr>
        <w:t>收费管理主要包括收费项目管理，收费批次管理。</w:t>
      </w:r>
    </w:p>
    <w:p>
      <w:pPr>
        <w:pStyle w:val="5"/>
      </w:pPr>
      <w:bookmarkStart w:id="6" w:name="_Toc423889161"/>
      <w:r>
        <w:rPr>
          <w:rFonts w:hint="eastAsia"/>
        </w:rPr>
        <w:t>收费项目管理</w:t>
      </w:r>
      <w:bookmarkEnd w:id="6"/>
    </w:p>
    <w:p>
      <w:pPr>
        <w:ind w:left="720"/>
        <w:jc w:val="left"/>
        <w:rPr>
          <w:szCs w:val="21"/>
        </w:rPr>
      </w:pPr>
      <w:r>
        <w:rPr>
          <w:rFonts w:hint="eastAsia"/>
          <w:szCs w:val="21"/>
        </w:rPr>
        <w:t>收费项目是收费部门申请收费批次的项目依据，可以重复使用。</w:t>
      </w:r>
    </w:p>
    <w:p>
      <w:pPr>
        <w:pStyle w:val="3"/>
        <w:ind w:left="660" w:firstLine="60" w:firstLineChars="0"/>
        <w:jc w:val="left"/>
        <w:rPr>
          <w:szCs w:val="21"/>
        </w:rPr>
      </w:pPr>
      <w:r>
        <w:rPr>
          <w:rFonts w:hint="eastAsia"/>
          <w:szCs w:val="21"/>
        </w:rPr>
        <w:t>收费项目管理包括：收费项目申请、查询、编辑和删除等功能。如图4.2.1-1所示：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5274310" cy="2054860"/>
            <wp:effectExtent l="19050" t="0" r="2540" b="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 4.2.1-1收费项目管理</w:t>
      </w:r>
    </w:p>
    <w:p>
      <w:pPr>
        <w:pStyle w:val="3"/>
        <w:numPr>
          <w:ilvl w:val="0"/>
          <w:numId w:val="2"/>
        </w:numPr>
        <w:ind w:left="0" w:firstLine="720" w:firstLineChars="0"/>
        <w:rPr>
          <w:szCs w:val="21"/>
        </w:rPr>
      </w:pPr>
      <w:r>
        <w:rPr>
          <w:rFonts w:hint="eastAsia"/>
          <w:szCs w:val="21"/>
        </w:rPr>
        <w:t>查询</w:t>
      </w:r>
    </w:p>
    <w:p>
      <w:pPr>
        <w:pStyle w:val="3"/>
        <w:ind w:left="720" w:firstLine="0" w:firstLineChars="0"/>
        <w:rPr>
          <w:szCs w:val="21"/>
        </w:rPr>
      </w:pPr>
      <w:r>
        <w:rPr>
          <w:rFonts w:hint="eastAsia"/>
          <w:szCs w:val="21"/>
        </w:rPr>
        <w:t>收费部门只能查看本部门的收费项目，输入查询条件，点击‘查询’按钮进行查询</w:t>
      </w:r>
    </w:p>
    <w:p>
      <w:pPr>
        <w:pStyle w:val="3"/>
        <w:numPr>
          <w:ilvl w:val="0"/>
          <w:numId w:val="2"/>
        </w:numPr>
        <w:ind w:left="0" w:firstLine="720" w:firstLineChars="0"/>
        <w:rPr>
          <w:szCs w:val="21"/>
        </w:rPr>
      </w:pPr>
      <w:r>
        <w:rPr>
          <w:rFonts w:hint="eastAsia"/>
          <w:szCs w:val="21"/>
        </w:rPr>
        <w:t>申请</w:t>
      </w:r>
    </w:p>
    <w:p>
      <w:pPr>
        <w:pStyle w:val="3"/>
        <w:ind w:left="420" w:firstLine="300" w:firstLineChars="0"/>
        <w:rPr>
          <w:szCs w:val="21"/>
        </w:rPr>
      </w:pPr>
      <w:r>
        <w:rPr>
          <w:rFonts w:hint="eastAsia"/>
          <w:szCs w:val="21"/>
        </w:rPr>
        <w:t>点击“申请”按钮，在申请项目信息栏输入项目信息，点击‘保存’进行新项目申请。</w:t>
      </w:r>
    </w:p>
    <w:p>
      <w:pPr>
        <w:pStyle w:val="3"/>
        <w:numPr>
          <w:ilvl w:val="1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收费上限、下限：定义具体的收费批次时，收费金额可以再上下限之内波动</w:t>
      </w:r>
    </w:p>
    <w:p>
      <w:pPr>
        <w:pStyle w:val="3"/>
        <w:numPr>
          <w:ilvl w:val="1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有效时间：定义可以使用该收费项目的有效使用时间。无限期——可以永久使用，有限期——定义具体的时间段之内使用</w:t>
      </w:r>
    </w:p>
    <w:p>
      <w:pPr>
        <w:pStyle w:val="3"/>
        <w:numPr>
          <w:ilvl w:val="1"/>
          <w:numId w:val="3"/>
        </w:numPr>
        <w:ind w:firstLineChars="0"/>
        <w:rPr>
          <w:szCs w:val="21"/>
        </w:rPr>
      </w:pPr>
      <w:r>
        <w:rPr>
          <w:szCs w:val="21"/>
        </w:rPr>
        <w:t>收费类型：</w:t>
      </w:r>
      <w:r>
        <w:rPr>
          <w:b/>
          <w:szCs w:val="21"/>
        </w:rPr>
        <w:t>对接</w:t>
      </w:r>
      <w:r>
        <w:rPr>
          <w:rFonts w:hint="eastAsia"/>
          <w:b/>
          <w:szCs w:val="21"/>
        </w:rPr>
        <w:t>——</w:t>
      </w:r>
      <w:r>
        <w:rPr>
          <w:b/>
          <w:szCs w:val="21"/>
        </w:rPr>
        <w:t>对接</w:t>
      </w:r>
      <w:r>
        <w:rPr>
          <w:rFonts w:hint="eastAsia"/>
          <w:b/>
          <w:szCs w:val="21"/>
        </w:rPr>
        <w:t>系统</w:t>
      </w:r>
      <w:r>
        <w:rPr>
          <w:b/>
          <w:szCs w:val="21"/>
        </w:rPr>
        <w:t>使用的</w:t>
      </w:r>
      <w:r>
        <w:rPr>
          <w:rFonts w:hint="eastAsia"/>
          <w:b/>
          <w:szCs w:val="21"/>
        </w:rPr>
        <w:t>项目，</w:t>
      </w:r>
      <w:r>
        <w:rPr>
          <w:szCs w:val="21"/>
        </w:rPr>
        <w:t>其他类型</w:t>
      </w:r>
      <w:r>
        <w:rPr>
          <w:rFonts w:hint="eastAsia"/>
          <w:szCs w:val="21"/>
        </w:rPr>
        <w:t>——预留</w:t>
      </w:r>
      <w:r>
        <w:rPr>
          <w:szCs w:val="21"/>
        </w:rPr>
        <w:t>类型，</w:t>
      </w:r>
      <w:r>
        <w:rPr>
          <w:rFonts w:hint="eastAsia"/>
          <w:szCs w:val="21"/>
        </w:rPr>
        <w:t>可</w:t>
      </w:r>
      <w:r>
        <w:rPr>
          <w:szCs w:val="21"/>
        </w:rPr>
        <w:t>随意设置</w:t>
      </w:r>
    </w:p>
    <w:p>
      <w:pPr>
        <w:pStyle w:val="3"/>
        <w:numPr>
          <w:ilvl w:val="1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收费类型：</w:t>
      </w:r>
      <w:r>
        <w:rPr>
          <w:rFonts w:hint="eastAsia"/>
          <w:b/>
          <w:szCs w:val="21"/>
        </w:rPr>
        <w:t>充值——</w:t>
      </w:r>
      <w:r>
        <w:rPr>
          <w:b/>
          <w:szCs w:val="21"/>
        </w:rPr>
        <w:t>对应前台项目为生活缴费</w:t>
      </w:r>
      <w:r>
        <w:rPr>
          <w:rFonts w:hint="eastAsia"/>
          <w:b/>
          <w:szCs w:val="21"/>
        </w:rPr>
        <w:t>，</w:t>
      </w:r>
      <w:r>
        <w:rPr>
          <w:rFonts w:hint="eastAsia"/>
          <w:szCs w:val="21"/>
        </w:rPr>
        <w:t>使用</w:t>
      </w:r>
      <w:r>
        <w:rPr>
          <w:szCs w:val="21"/>
        </w:rPr>
        <w:t>场景</w:t>
      </w:r>
      <w:r>
        <w:rPr>
          <w:rFonts w:hint="eastAsia"/>
          <w:szCs w:val="21"/>
        </w:rPr>
        <w:t>：可以允许学生重复缴费的项目，比如一卡通补卡费、停车费；</w:t>
      </w:r>
    </w:p>
    <w:p>
      <w:pPr>
        <w:pStyle w:val="3"/>
        <w:numPr>
          <w:ilvl w:val="0"/>
          <w:numId w:val="2"/>
        </w:numPr>
        <w:ind w:left="0" w:firstLine="720" w:firstLineChars="0"/>
        <w:rPr>
          <w:szCs w:val="21"/>
        </w:rPr>
      </w:pPr>
      <w:r>
        <w:rPr>
          <w:rFonts w:hint="eastAsia"/>
          <w:szCs w:val="21"/>
        </w:rPr>
        <w:t>编辑</w:t>
      </w:r>
    </w:p>
    <w:p>
      <w:pPr>
        <w:pStyle w:val="3"/>
        <w:ind w:left="420" w:firstLine="300" w:firstLineChars="0"/>
        <w:rPr>
          <w:szCs w:val="21"/>
        </w:rPr>
      </w:pPr>
      <w:r>
        <w:rPr>
          <w:rFonts w:hint="eastAsia"/>
          <w:szCs w:val="21"/>
        </w:rPr>
        <w:t>点击“编辑”修改选中的收费项目，在该收费项目未审批之前可以修改。</w:t>
      </w:r>
    </w:p>
    <w:p>
      <w:pPr>
        <w:pStyle w:val="3"/>
        <w:numPr>
          <w:ilvl w:val="0"/>
          <w:numId w:val="2"/>
        </w:numPr>
        <w:ind w:left="0" w:firstLine="720" w:firstLineChars="0"/>
        <w:rPr>
          <w:szCs w:val="21"/>
        </w:rPr>
      </w:pPr>
      <w:r>
        <w:rPr>
          <w:rFonts w:hint="eastAsia"/>
          <w:szCs w:val="21"/>
        </w:rPr>
        <w:t>删除</w:t>
      </w:r>
    </w:p>
    <w:p>
      <w:pPr>
        <w:pStyle w:val="3"/>
        <w:ind w:left="420" w:firstLine="300" w:firstLineChars="0"/>
        <w:rPr>
          <w:szCs w:val="21"/>
        </w:rPr>
      </w:pPr>
      <w:r>
        <w:rPr>
          <w:rFonts w:hint="eastAsia"/>
          <w:szCs w:val="21"/>
        </w:rPr>
        <w:t>点击“删除”按钮，删除单个或批量项目，只能删除未使用的项目。</w:t>
      </w:r>
    </w:p>
    <w:p>
      <w:pPr>
        <w:pStyle w:val="5"/>
      </w:pPr>
      <w:bookmarkStart w:id="7" w:name="_Toc423889162"/>
      <w:r>
        <w:rPr>
          <w:rFonts w:hint="eastAsia"/>
        </w:rPr>
        <w:t>收费批次管理</w:t>
      </w:r>
      <w:bookmarkEnd w:id="7"/>
    </w:p>
    <w:p>
      <w:pPr>
        <w:ind w:left="420" w:firstLine="300"/>
        <w:jc w:val="left"/>
        <w:rPr>
          <w:szCs w:val="21"/>
        </w:rPr>
      </w:pPr>
      <w:r>
        <w:rPr>
          <w:rFonts w:hint="eastAsia"/>
          <w:szCs w:val="21"/>
        </w:rPr>
        <w:t>收费批次是收费部门具体的收费要求，包括收费项目、收费内容、收费对象、收费起止时间、收费标准、收费说明等信息。</w:t>
      </w:r>
    </w:p>
    <w:p>
      <w:pPr>
        <w:pStyle w:val="3"/>
        <w:ind w:left="420" w:firstLine="300" w:firstLineChars="0"/>
        <w:jc w:val="left"/>
        <w:rPr>
          <w:szCs w:val="21"/>
        </w:rPr>
      </w:pPr>
      <w:r>
        <w:rPr>
          <w:rFonts w:hint="eastAsia"/>
          <w:szCs w:val="21"/>
        </w:rPr>
        <w:t>收费批次管理包括：收费批次申请、查询、新增项目、编辑和删除等功能。如图4.2.2-1所示：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5274310" cy="1379855"/>
            <wp:effectExtent l="19050" t="0" r="2540" b="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图4.2.2-1收费批次管理</w:t>
      </w:r>
    </w:p>
    <w:p>
      <w:pPr>
        <w:pStyle w:val="3"/>
        <w:numPr>
          <w:ilvl w:val="2"/>
          <w:numId w:val="3"/>
        </w:numPr>
        <w:ind w:left="0" w:firstLine="720" w:firstLineChars="0"/>
        <w:rPr>
          <w:szCs w:val="21"/>
        </w:rPr>
      </w:pPr>
      <w:r>
        <w:rPr>
          <w:rFonts w:hint="eastAsia"/>
          <w:szCs w:val="21"/>
        </w:rPr>
        <w:t>查询</w:t>
      </w:r>
    </w:p>
    <w:p>
      <w:pPr>
        <w:pStyle w:val="3"/>
        <w:ind w:left="420" w:firstLine="300" w:firstLineChars="0"/>
        <w:rPr>
          <w:szCs w:val="21"/>
        </w:rPr>
      </w:pPr>
      <w:r>
        <w:rPr>
          <w:rFonts w:hint="eastAsia"/>
          <w:szCs w:val="21"/>
        </w:rPr>
        <w:t>收费部门人员只能查询本部门及下属部门的收费批次信息，如图4.2.2-1所示，输入收费批次的收费期间、批次号、项目名称、收费部门，点击</w:t>
      </w:r>
      <w:r>
        <w:rPr>
          <w:rFonts w:hint="eastAsia"/>
          <w:szCs w:val="21"/>
        </w:rPr>
        <w:drawing>
          <wp:inline distT="0" distB="0" distL="0" distR="0">
            <wp:extent cx="497205" cy="16065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16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按钮，可以查询具体的收费批次。</w:t>
      </w:r>
    </w:p>
    <w:p>
      <w:pPr>
        <w:pStyle w:val="3"/>
        <w:numPr>
          <w:ilvl w:val="2"/>
          <w:numId w:val="3"/>
        </w:numPr>
        <w:ind w:left="0" w:firstLine="720" w:firstLineChars="0"/>
        <w:rPr>
          <w:szCs w:val="21"/>
        </w:rPr>
      </w:pPr>
      <w:r>
        <w:rPr>
          <w:rFonts w:hint="eastAsia"/>
          <w:szCs w:val="21"/>
        </w:rPr>
        <w:t>申请</w:t>
      </w:r>
    </w:p>
    <w:p>
      <w:pPr>
        <w:rPr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18225" cy="3552825"/>
            <wp:effectExtent l="19050" t="0" r="0" b="0"/>
            <wp:docPr id="2" name="图片 2" descr="C:\Users\Json\AppData\Roaming\Tencent\Users\731559180\QQ\WinTemp\RichOle\750~4646_{MK)}D1IP5TG~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son\AppData\Roaming\Tencent\Users\731559180\QQ\WinTemp\RichOle\750~4646_{MK)}D1IP5TG~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322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720"/>
        <w:rPr>
          <w:szCs w:val="21"/>
        </w:rPr>
      </w:pPr>
    </w:p>
    <w:p>
      <w:pPr>
        <w:rPr>
          <w:szCs w:val="21"/>
        </w:rPr>
      </w:pPr>
    </w:p>
    <w:p>
      <w:pPr>
        <w:pStyle w:val="3"/>
        <w:ind w:left="420" w:firstLine="300" w:firstLineChars="0"/>
        <w:rPr>
          <w:szCs w:val="21"/>
        </w:rPr>
      </w:pPr>
      <w:r>
        <w:rPr>
          <w:rFonts w:hint="eastAsia"/>
          <w:szCs w:val="21"/>
        </w:rPr>
        <w:t>点击</w:t>
      </w:r>
      <w:r>
        <w:rPr>
          <w:rFonts w:hint="eastAsia"/>
          <w:szCs w:val="21"/>
        </w:rPr>
        <w:drawing>
          <wp:inline distT="0" distB="0" distL="0" distR="0">
            <wp:extent cx="541020" cy="18288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18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按钮，出现如图4.2.2-2所示收费批次信息申请表，输入收费信息，点击</w:t>
      </w:r>
      <w:r>
        <w:rPr>
          <w:rFonts w:hint="eastAsia"/>
          <w:szCs w:val="21"/>
        </w:rPr>
        <w:drawing>
          <wp:inline distT="0" distB="0" distL="0" distR="0">
            <wp:extent cx="563245" cy="138430"/>
            <wp:effectExtent l="19050" t="0" r="81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13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按钮，生成收费批次号，完成收费批次申请如图4.2.2-3所示。</w:t>
      </w:r>
    </w:p>
    <w:p>
      <w:pPr>
        <w:pStyle w:val="3"/>
        <w:ind w:left="420" w:firstLine="300" w:firstLineChars="0"/>
        <w:rPr>
          <w:szCs w:val="21"/>
        </w:rPr>
      </w:pPr>
      <w:r>
        <w:rPr>
          <w:rFonts w:hint="eastAsia"/>
          <w:szCs w:val="21"/>
        </w:rPr>
        <w:t>收费批次名称解释：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收费内容：收费内容简介，以便缴费人员明确缴费信息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收费对象：收费对象简介，以便缴费人员核对缴费信息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收费开始、截止时间：定义收费起止时间，学生只能在该期间内缴费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是否需要报名：设置允许报名，可以通过平台首页或平台内的报名系统进行报名缴费，如果设置为允许报名，如下图：</w:t>
      </w:r>
    </w:p>
    <w:p>
      <w:pPr>
        <w:pStyle w:val="3"/>
        <w:ind w:left="840" w:firstLine="0" w:firstLineChars="0"/>
        <w:rPr>
          <w:szCs w:val="21"/>
        </w:rPr>
      </w:pPr>
      <w:r>
        <w:rPr>
          <w:rFonts w:hint="eastAsia"/>
          <w:szCs w:val="21"/>
        </w:rPr>
        <w:t xml:space="preserve">     </w:t>
      </w:r>
    </w:p>
    <w:p>
      <w:pPr>
        <w:pStyle w:val="3"/>
        <w:ind w:left="840" w:firstLine="0" w:firstLineChars="0"/>
        <w:rPr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48275" cy="1532255"/>
            <wp:effectExtent l="19050" t="0" r="9525" b="0"/>
            <wp:docPr id="4" name="图片 4" descr="C:\Users\Json\AppData\Roaming\Tencent\Users\731559180\QQ\WinTemp\RichOle\A3FDK7LG7P8D@E}M0MG{@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Json\AppData\Roaming\Tencent\Users\731559180\QQ\WinTemp\RichOle\A3FDK7LG7P8D@E}M0MG{@H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53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840" w:firstLine="0" w:firstLineChars="0"/>
        <w:rPr>
          <w:szCs w:val="21"/>
        </w:rPr>
      </w:pPr>
    </w:p>
    <w:p>
      <w:pPr>
        <w:pStyle w:val="3"/>
        <w:numPr>
          <w:ilvl w:val="0"/>
          <w:numId w:val="4"/>
        </w:numPr>
        <w:ind w:firstLine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可选择输入编辑项，如图：</w:t>
      </w:r>
    </w:p>
    <w:p>
      <w:pPr>
        <w:rPr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67350" cy="3339465"/>
            <wp:effectExtent l="19050" t="0" r="0" b="0"/>
            <wp:docPr id="7" name="图片 6" descr="C:\Users\Json\AppData\Roaming\Tencent\Users\731559180\QQ\WinTemp\RichOle\C(L0HJE]DC$2`2COLDG()Y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Json\AppData\Roaming\Tencent\Users\731559180\QQ\WinTemp\RichOle\C(L0HJE]DC$2`2COLDG()YQ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34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5"/>
        </w:numPr>
        <w:ind w:firstLine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此位置可以自定义报名选项，可约束学生在报名时是否是必填或选填；</w:t>
      </w:r>
    </w:p>
    <w:p>
      <w:pPr>
        <w:pStyle w:val="3"/>
        <w:numPr>
          <w:ilvl w:val="1"/>
          <w:numId w:val="5"/>
        </w:numPr>
        <w:ind w:firstLine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如进行上图设置，则该条目均会在学生端进行显示；</w:t>
      </w:r>
    </w:p>
    <w:p>
      <w:pPr>
        <w:pStyle w:val="3"/>
        <w:numPr>
          <w:ilvl w:val="1"/>
          <w:numId w:val="5"/>
        </w:numPr>
        <w:ind w:firstLine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对应学生端的界面如图：</w:t>
      </w:r>
    </w:p>
    <w:p>
      <w:pPr>
        <w:pStyle w:val="3"/>
        <w:widowControl/>
        <w:numPr>
          <w:ilvl w:val="0"/>
          <w:numId w:val="5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kern w:val="0"/>
        </w:rPr>
        <w:drawing>
          <wp:inline distT="0" distB="0" distL="0" distR="0">
            <wp:extent cx="6000750" cy="3803650"/>
            <wp:effectExtent l="19050" t="0" r="0" b="0"/>
            <wp:docPr id="10" name="图片 10" descr="C:\Users\Json\AppData\Roaming\Tencent\Users\731559180\QQ\WinTemp\RichOle\A$[[MIN%I){BE~IPTH$UF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Json\AppData\Roaming\Tencent\Users\731559180\QQ\WinTemp\RichOle\A$[[MIN%I){BE~IPTH$UF0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80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ind w:left="48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szCs w:val="21"/>
        </w:rPr>
      </w:pPr>
    </w:p>
    <w:p>
      <w:pPr>
        <w:pStyle w:val="3"/>
        <w:numPr>
          <w:ilvl w:val="0"/>
          <w:numId w:val="4"/>
        </w:numPr>
        <w:ind w:firstLine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可进行约束该项目是否允许在校生或非在校生进行报名</w:t>
      </w:r>
    </w:p>
    <w:p>
      <w:pPr>
        <w:pStyle w:val="3"/>
        <w:ind w:left="840" w:firstLine="0" w:firstLineChars="0"/>
        <w:rPr>
          <w:szCs w:val="21"/>
        </w:rPr>
      </w:pPr>
    </w:p>
    <w:p>
      <w:pPr>
        <w:rPr>
          <w:szCs w:val="21"/>
        </w:rPr>
      </w:pP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是否启用：是否启用该批次进行收费。注：正在收费的项目，不启用后停止缴费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是否直接缴费</w:t>
      </w:r>
    </w:p>
    <w:p>
      <w:pPr>
        <w:ind w:left="1680"/>
        <w:rPr>
          <w:szCs w:val="21"/>
        </w:rPr>
      </w:pPr>
      <w:r>
        <w:rPr>
          <w:rFonts w:hint="eastAsia"/>
          <w:szCs w:val="21"/>
        </w:rPr>
        <w:t>是——存在该批次欠费人员可以通过该系统缴费。</w:t>
      </w:r>
    </w:p>
    <w:p>
      <w:pPr>
        <w:pStyle w:val="3"/>
        <w:ind w:left="1260" w:leftChars="600"/>
        <w:rPr>
          <w:szCs w:val="21"/>
        </w:rPr>
      </w:pPr>
      <w:r>
        <w:rPr>
          <w:rFonts w:hint="eastAsia"/>
          <w:szCs w:val="21"/>
        </w:rPr>
        <w:t>否——已存在改批次欠费的人员不能通过该系统缴费，适用于只通过报名收集人员信息情况。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收费</w:t>
      </w:r>
      <w:r>
        <w:rPr>
          <w:szCs w:val="21"/>
        </w:rPr>
        <w:t>标准</w:t>
      </w:r>
      <w:r>
        <w:rPr>
          <w:rFonts w:hint="eastAsia"/>
          <w:szCs w:val="21"/>
        </w:rPr>
        <w:t>：收费金额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是否</w:t>
      </w:r>
      <w:r>
        <w:rPr>
          <w:szCs w:val="21"/>
        </w:rPr>
        <w:t>允许拆分</w:t>
      </w:r>
      <w:r>
        <w:rPr>
          <w:rFonts w:hint="eastAsia"/>
          <w:szCs w:val="21"/>
        </w:rPr>
        <w:t>支付</w:t>
      </w:r>
      <w:r>
        <w:rPr>
          <w:szCs w:val="21"/>
        </w:rPr>
        <w:t>：</w:t>
      </w:r>
      <w:r>
        <w:rPr>
          <w:rFonts w:hint="eastAsia"/>
          <w:szCs w:val="21"/>
        </w:rPr>
        <w:t>是否</w:t>
      </w:r>
      <w:r>
        <w:rPr>
          <w:szCs w:val="21"/>
        </w:rPr>
        <w:t>允许学生</w:t>
      </w:r>
      <w:r>
        <w:rPr>
          <w:rFonts w:hint="eastAsia"/>
          <w:szCs w:val="21"/>
        </w:rPr>
        <w:t>拆分</w:t>
      </w:r>
      <w:r>
        <w:rPr>
          <w:szCs w:val="21"/>
        </w:rPr>
        <w:t>支付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收费优先级</w:t>
      </w:r>
    </w:p>
    <w:p>
      <w:pPr>
        <w:pStyle w:val="3"/>
        <w:ind w:left="840" w:firstLine="0" w:firstLineChars="0"/>
        <w:rPr>
          <w:szCs w:val="21"/>
        </w:rPr>
      </w:pPr>
      <w:r>
        <w:rPr>
          <w:rFonts w:hint="eastAsia"/>
          <w:szCs w:val="21"/>
        </w:rPr>
        <w:t>在同一批次存在多个收费项目的情况下，缴费人员缴费金额按定义的优先级分配金额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经费项目设置：设置收入科目、部门。可以不设置。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是否允许拆分：是否允许拆分金额缴费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附件：报名的批次设置附件可供报名人员下载。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收费简介：</w:t>
      </w:r>
    </w:p>
    <w:p>
      <w:pPr>
        <w:pStyle w:val="3"/>
        <w:ind w:left="840" w:firstLineChars="0"/>
        <w:rPr>
          <w:szCs w:val="21"/>
        </w:rPr>
      </w:pPr>
      <w:r>
        <w:rPr>
          <w:rFonts w:hint="eastAsia"/>
          <w:szCs w:val="21"/>
        </w:rPr>
        <w:t>如该批次项目定义为报名项目，报名人员在报名项目信息中可以看到该内容，以供报名人员确认。</w:t>
      </w:r>
    </w:p>
    <w:p>
      <w:pPr>
        <w:pStyle w:val="3"/>
        <w:numPr>
          <w:ilvl w:val="3"/>
          <w:numId w:val="3"/>
        </w:numPr>
        <w:ind w:left="420" w:leftChars="200" w:firstLine="420"/>
        <w:rPr>
          <w:szCs w:val="21"/>
        </w:rPr>
      </w:pPr>
      <w:r>
        <w:rPr>
          <w:rFonts w:hint="eastAsia"/>
          <w:szCs w:val="21"/>
        </w:rPr>
        <w:t>备注：设置批次备注。允许设置为空。</w:t>
      </w:r>
    </w:p>
    <w:p>
      <w:pPr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5274310" cy="2392680"/>
            <wp:effectExtent l="19050" t="0" r="2540" b="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 4.2.2-2申请收费批次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szCs w:val="21"/>
        </w:rPr>
        <w:t>O</w:t>
      </w:r>
      <w:r>
        <w:rPr>
          <w:rFonts w:hint="eastAsia"/>
          <w:szCs w:val="21"/>
        </w:rPr>
        <w:t>、充值项目收费批次的申请：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szCs w:val="21"/>
        </w:rPr>
        <w:drawing>
          <wp:inline distT="0" distB="0" distL="0" distR="0">
            <wp:extent cx="5034915" cy="2929255"/>
            <wp:effectExtent l="19050" t="0" r="0" b="0"/>
            <wp:docPr id="14" name="图片 12" descr="C:\Users\Json\Desktop\杂\QQ截图20171206105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C:\Users\Json\Desktop\杂\QQ截图20171206105616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7845" cy="293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、收费内容、收费对象功能同上；</w:t>
      </w:r>
    </w:p>
    <w:p>
      <w:pPr>
        <w:pStyle w:val="3"/>
        <w:numPr>
          <w:ilvl w:val="1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、类型：</w:t>
      </w:r>
    </w:p>
    <w:p>
      <w:pPr>
        <w:pStyle w:val="3"/>
        <w:ind w:left="1620" w:firstLine="0" w:firstLineChars="0"/>
        <w:rPr>
          <w:szCs w:val="21"/>
        </w:rPr>
      </w:pPr>
      <w:r>
        <w:rPr>
          <w:rFonts w:hint="eastAsia"/>
          <w:szCs w:val="21"/>
        </w:rPr>
        <w:t>金额固定不可选项目：设置为该选项，学生端进行支付时数量和金额将不可更改</w:t>
      </w:r>
    </w:p>
    <w:p>
      <w:pPr>
        <w:pStyle w:val="3"/>
        <w:ind w:left="1620" w:firstLine="0" w:firstLineChars="0"/>
        <w:rPr>
          <w:szCs w:val="21"/>
        </w:rPr>
      </w:pPr>
      <w:r>
        <w:rPr>
          <w:rFonts w:hint="eastAsia"/>
          <w:szCs w:val="21"/>
        </w:rPr>
        <w:t>金额固定可选项目：设置为该选项，学生端进行支付时，不可修改金额，但可以修改数量，最终的支付金额为：金额*数量</w:t>
      </w:r>
    </w:p>
    <w:p>
      <w:pPr>
        <w:pStyle w:val="3"/>
        <w:ind w:left="1620" w:firstLine="0" w:firstLineChars="0"/>
        <w:rPr>
          <w:szCs w:val="21"/>
        </w:rPr>
      </w:pPr>
      <w:r>
        <w:rPr>
          <w:rFonts w:hint="eastAsia"/>
          <w:szCs w:val="21"/>
        </w:rPr>
        <w:t>自定义金额不可选数目：设置为该选项，学生端进行支付时，可以自己填写金额，但不能更改数量；</w:t>
      </w:r>
    </w:p>
    <w:p>
      <w:pPr>
        <w:pStyle w:val="3"/>
        <w:ind w:left="1620" w:firstLine="0" w:firstLineChars="0"/>
        <w:rPr>
          <w:szCs w:val="21"/>
        </w:rPr>
      </w:pPr>
      <w:r>
        <w:rPr>
          <w:rFonts w:hint="eastAsia"/>
          <w:szCs w:val="21"/>
        </w:rPr>
        <w:t>自定义金额可选数目：设置为该选项，学生端进行支付时，可以自己填写金额，同时也可以填写数量，最终支付金额为：金额*数量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</w:p>
    <w:p>
      <w:pPr>
        <w:pStyle w:val="3"/>
        <w:numPr>
          <w:ilvl w:val="2"/>
          <w:numId w:val="3"/>
        </w:numPr>
        <w:ind w:left="0" w:firstLine="720" w:firstLineChars="0"/>
        <w:rPr>
          <w:szCs w:val="21"/>
        </w:rPr>
      </w:pPr>
      <w:r>
        <w:rPr>
          <w:rFonts w:hint="eastAsia"/>
          <w:szCs w:val="21"/>
        </w:rPr>
        <w:t>新增项目</w:t>
      </w:r>
    </w:p>
    <w:p>
      <w:pPr>
        <w:pStyle w:val="3"/>
        <w:ind w:left="420" w:firstLine="300" w:firstLineChars="0"/>
        <w:rPr>
          <w:szCs w:val="21"/>
        </w:rPr>
      </w:pPr>
      <w:r>
        <w:rPr>
          <w:rFonts w:hint="eastAsia"/>
          <w:szCs w:val="21"/>
        </w:rPr>
        <w:t>如图4.2.2-4所示，选择在未审批的收费批次，点击</w:t>
      </w:r>
      <w:r>
        <w:rPr>
          <w:rFonts w:hint="eastAsia"/>
          <w:szCs w:val="21"/>
        </w:rPr>
        <w:drawing>
          <wp:inline distT="0" distB="0" distL="0" distR="0">
            <wp:extent cx="702310" cy="248920"/>
            <wp:effectExtent l="1905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按钮，可以在同一批次中增加缴费项目，同一批次各项目相互独立，定义在同一批次的项目，欠费人员可同时缴费。</w:t>
      </w:r>
    </w:p>
    <w:p>
      <w:pPr>
        <w:rPr>
          <w:szCs w:val="21"/>
        </w:rPr>
      </w:pPr>
      <w:r>
        <w:drawing>
          <wp:inline distT="0" distB="0" distL="0" distR="0">
            <wp:extent cx="5274310" cy="2450465"/>
            <wp:effectExtent l="19050" t="0" r="2235" b="0"/>
            <wp:docPr id="4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图4.2.2-4新增收费项目</w:t>
      </w:r>
    </w:p>
    <w:p>
      <w:pPr>
        <w:pStyle w:val="3"/>
        <w:numPr>
          <w:ilvl w:val="2"/>
          <w:numId w:val="3"/>
        </w:numPr>
        <w:ind w:left="0" w:firstLine="720" w:firstLineChars="0"/>
        <w:rPr>
          <w:szCs w:val="21"/>
        </w:rPr>
      </w:pPr>
      <w:r>
        <w:rPr>
          <w:rFonts w:hint="eastAsia"/>
          <w:szCs w:val="21"/>
        </w:rPr>
        <w:t>编辑</w:t>
      </w:r>
    </w:p>
    <w:p>
      <w:pPr>
        <w:pStyle w:val="3"/>
        <w:ind w:left="720" w:firstLine="0" w:firstLineChars="0"/>
        <w:rPr>
          <w:szCs w:val="21"/>
        </w:rPr>
      </w:pPr>
      <w:r>
        <w:rPr>
          <w:rFonts w:hint="eastAsia"/>
          <w:szCs w:val="21"/>
        </w:rPr>
        <w:t>选择需要编辑的收费批次，点击</w:t>
      </w:r>
      <w:r>
        <w:rPr>
          <w:rFonts w:hint="eastAsia"/>
          <w:szCs w:val="21"/>
        </w:rPr>
        <w:drawing>
          <wp:inline distT="0" distB="0" distL="0" distR="0">
            <wp:extent cx="541020" cy="138430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13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按钮，修改收费批次信息。</w:t>
      </w: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在财务处审批前，允许修改除收费批次号外的其他各内容；财务处审批后不允许修改收费批次中的收费项目、收费期间和收费标准。</w:t>
      </w:r>
    </w:p>
    <w:p>
      <w:pPr>
        <w:pStyle w:val="3"/>
        <w:numPr>
          <w:ilvl w:val="2"/>
          <w:numId w:val="3"/>
        </w:numPr>
        <w:ind w:left="0" w:firstLine="720" w:firstLineChars="0"/>
        <w:rPr>
          <w:szCs w:val="21"/>
        </w:rPr>
      </w:pPr>
      <w:r>
        <w:rPr>
          <w:rFonts w:hint="eastAsia"/>
          <w:szCs w:val="21"/>
        </w:rPr>
        <w:t>删除</w:t>
      </w:r>
    </w:p>
    <w:p>
      <w:pPr>
        <w:pStyle w:val="3"/>
        <w:ind w:left="420" w:firstLine="300" w:firstLineChars="0"/>
        <w:rPr>
          <w:szCs w:val="21"/>
        </w:rPr>
      </w:pPr>
      <w:r>
        <w:rPr>
          <w:rFonts w:hint="eastAsia"/>
          <w:szCs w:val="21"/>
        </w:rPr>
        <w:t>选中需要删除的收费批次，点击</w:t>
      </w:r>
      <w:r>
        <w:rPr>
          <w:rFonts w:hint="eastAsia"/>
          <w:szCs w:val="21"/>
        </w:rPr>
        <w:drawing>
          <wp:inline distT="0" distB="0" distL="0" distR="0">
            <wp:extent cx="534035" cy="167640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16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按钮，允许单个或批量删除没有欠费人员的收费批次</w:t>
      </w:r>
    </w:p>
    <w:p>
      <w:pPr>
        <w:pStyle w:val="3"/>
        <w:numPr>
          <w:ilvl w:val="2"/>
          <w:numId w:val="3"/>
        </w:numPr>
        <w:ind w:left="0" w:firstLine="720" w:firstLineChars="0"/>
        <w:rPr>
          <w:szCs w:val="21"/>
        </w:rPr>
      </w:pPr>
      <w:r>
        <w:rPr>
          <w:rFonts w:hint="eastAsia"/>
          <w:szCs w:val="21"/>
        </w:rPr>
        <w:t>人员管理</w:t>
      </w:r>
    </w:p>
    <w:p>
      <w:pPr>
        <w:pStyle w:val="3"/>
        <w:ind w:left="420" w:firstLine="300" w:firstLineChars="0"/>
        <w:rPr>
          <w:szCs w:val="21"/>
        </w:rPr>
      </w:pPr>
      <w:r>
        <w:rPr>
          <w:rFonts w:hint="eastAsia"/>
          <w:szCs w:val="21"/>
        </w:rPr>
        <w:t>选中同一批次项目，点击</w:t>
      </w:r>
      <w:r>
        <w:rPr>
          <w:rFonts w:hint="eastAsia"/>
          <w:szCs w:val="21"/>
        </w:rPr>
        <w:drawing>
          <wp:inline distT="0" distB="0" distL="0" distR="0">
            <wp:extent cx="694690" cy="153035"/>
            <wp:effectExtent l="1905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5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按钮，允许查询、管理同一批次项目欠费人员信息（同人员管理功能）。</w:t>
      </w:r>
    </w:p>
    <w:p>
      <w:pPr>
        <w:pStyle w:val="4"/>
      </w:pPr>
      <w:bookmarkStart w:id="8" w:name="_Toc423889163"/>
      <w:r>
        <w:rPr>
          <w:rFonts w:hint="eastAsia"/>
        </w:rPr>
        <w:t>人员管理</w:t>
      </w:r>
      <w:bookmarkEnd w:id="8"/>
    </w:p>
    <w:p>
      <w:pPr>
        <w:pStyle w:val="3"/>
        <w:ind w:left="720" w:firstLine="0" w:firstLineChars="0"/>
        <w:jc w:val="left"/>
        <w:rPr>
          <w:szCs w:val="21"/>
        </w:rPr>
      </w:pPr>
      <w:r>
        <w:rPr>
          <w:rFonts w:hint="eastAsia"/>
          <w:szCs w:val="21"/>
        </w:rPr>
        <w:t>收费人员管理，主要是收费人员信息查询、收费结果查询以及收费人员录入。</w:t>
      </w:r>
    </w:p>
    <w:p>
      <w:pPr>
        <w:pStyle w:val="3"/>
        <w:ind w:left="420" w:firstLine="298" w:firstLineChars="142"/>
        <w:jc w:val="left"/>
        <w:rPr>
          <w:szCs w:val="21"/>
        </w:rPr>
      </w:pPr>
      <w:r>
        <w:rPr>
          <w:rFonts w:hint="eastAsia"/>
          <w:szCs w:val="21"/>
        </w:rPr>
        <w:t>收费人员管理包括收费人员查询、编辑、删除、信息下载、人员导入。收费人员管理是按照收费批次进行查询统计的。点击人员管理——收费人员管理，进入如图4.3-1所示，收费部门人员只能查询本部门的收费批次。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drawing>
          <wp:inline distT="0" distB="0" distL="0" distR="0">
            <wp:extent cx="5274310" cy="1628140"/>
            <wp:effectExtent l="1905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图4.3-1收费批次选择</w:t>
      </w:r>
    </w:p>
    <w:p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选择需要管理的批次项目后，点击人员管理进入收费人员管理界面，如图4.3-2收费人员管理。（也可在收费批次管理中点击选择批次，点击人员管理进入该管理功能界面）。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5274310" cy="2332990"/>
            <wp:effectExtent l="19050" t="0" r="2540" b="0"/>
            <wp:docPr id="5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图4.3-2收费人员管理</w:t>
      </w:r>
    </w:p>
    <w:p>
      <w:pPr>
        <w:pStyle w:val="3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查询</w:t>
      </w:r>
    </w:p>
    <w:p>
      <w:pPr>
        <w:pStyle w:val="3"/>
        <w:ind w:left="780" w:firstLine="0" w:firstLineChars="0"/>
        <w:rPr>
          <w:szCs w:val="21"/>
        </w:rPr>
      </w:pPr>
      <w:r>
        <w:rPr>
          <w:rFonts w:hint="eastAsia"/>
          <w:szCs w:val="21"/>
        </w:rPr>
        <w:t>选择收费项目，输入人员姓名、编号、身份证号以及支付状态，点击</w:t>
      </w:r>
      <w:r>
        <w:rPr>
          <w:rFonts w:hint="eastAsia"/>
          <w:szCs w:val="21"/>
        </w:rPr>
        <w:drawing>
          <wp:inline distT="0" distB="0" distL="0" distR="0">
            <wp:extent cx="497205" cy="160655"/>
            <wp:effectExtent l="19050" t="0" r="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16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按钮查询具体的缴费人员信息</w:t>
      </w:r>
    </w:p>
    <w:p>
      <w:pPr>
        <w:pStyle w:val="3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编辑</w:t>
      </w:r>
    </w:p>
    <w:p>
      <w:pPr>
        <w:pStyle w:val="3"/>
        <w:ind w:left="780" w:firstLine="0" w:firstLineChars="0"/>
        <w:rPr>
          <w:szCs w:val="21"/>
        </w:rPr>
      </w:pPr>
      <w:r>
        <w:rPr>
          <w:rFonts w:hint="eastAsia"/>
          <w:szCs w:val="21"/>
        </w:rPr>
        <w:t>选择需要修改人员，点击</w:t>
      </w:r>
      <w:r>
        <w:rPr>
          <w:rFonts w:hint="eastAsia"/>
          <w:szCs w:val="21"/>
        </w:rPr>
        <w:drawing>
          <wp:inline distT="0" distB="0" distL="0" distR="0">
            <wp:extent cx="541020" cy="138430"/>
            <wp:effectExtent l="19050" t="0" r="0" b="0"/>
            <wp:docPr id="1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13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按钮，如图4.3-3所示，允许修改金额和备注。已开始缴费人员不能修改金额。</w:t>
      </w:r>
    </w:p>
    <w:p>
      <w:pPr>
        <w:pStyle w:val="3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4769485" cy="1572260"/>
            <wp:effectExtent l="19050" t="0" r="0" b="0"/>
            <wp:docPr id="5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9485" cy="157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图4.3-3人员信息编辑</w:t>
      </w:r>
    </w:p>
    <w:p>
      <w:pPr>
        <w:pStyle w:val="3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删除选中需要删除的人员，点击</w:t>
      </w:r>
      <w:r>
        <w:rPr>
          <w:rFonts w:hint="eastAsia"/>
          <w:szCs w:val="21"/>
        </w:rPr>
        <w:drawing>
          <wp:inline distT="0" distB="0" distL="0" distR="0">
            <wp:extent cx="534035" cy="167640"/>
            <wp:effectExtent l="19050" t="0" r="0" b="0"/>
            <wp:docPr id="15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16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按钮，允许单个或批量删除未缴费人员（</w:t>
      </w: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以开始缴费的人员不允许删除）。</w:t>
      </w:r>
    </w:p>
    <w:p>
      <w:pPr>
        <w:pStyle w:val="3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全部删除允许删除当前批次的所有未开始缴费人员信息。</w:t>
      </w:r>
    </w:p>
    <w:p>
      <w:pPr>
        <w:pStyle w:val="3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信息下载</w:t>
      </w:r>
    </w:p>
    <w:p>
      <w:pPr>
        <w:pStyle w:val="3"/>
        <w:ind w:left="780" w:firstLine="0" w:firstLineChars="0"/>
        <w:rPr>
          <w:szCs w:val="21"/>
        </w:rPr>
      </w:pPr>
      <w:r>
        <w:rPr>
          <w:rFonts w:hint="eastAsia"/>
          <w:szCs w:val="21"/>
        </w:rPr>
        <w:t>点击</w:t>
      </w:r>
      <w:r>
        <w:rPr>
          <w:rFonts w:hint="eastAsia"/>
          <w:szCs w:val="21"/>
        </w:rPr>
        <w:drawing>
          <wp:inline distT="0" distB="0" distL="0" distR="0">
            <wp:extent cx="694690" cy="175260"/>
            <wp:effectExtent l="1905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按钮，打开如图4.3-5所示界面</w:t>
      </w:r>
    </w:p>
    <w:p>
      <w:pPr>
        <w:pStyle w:val="3"/>
        <w:ind w:left="780" w:firstLine="0" w:firstLineChars="0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337435" cy="1389380"/>
            <wp:effectExtent l="19050" t="0" r="5106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194" cy="138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drawing>
          <wp:inline distT="0" distB="0" distL="0" distR="0">
            <wp:extent cx="2336800" cy="1388745"/>
            <wp:effectExtent l="19050" t="0" r="57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035" cy="13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图4.3-5Excel下载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图4.3-6txt下载</w:t>
      </w:r>
    </w:p>
    <w:p>
      <w:pPr>
        <w:pStyle w:val="3"/>
        <w:ind w:left="780" w:firstLine="0" w:firstLineChars="0"/>
        <w:rPr>
          <w:szCs w:val="21"/>
        </w:rPr>
      </w:pPr>
      <w:r>
        <w:rPr>
          <w:rFonts w:hint="eastAsia"/>
          <w:szCs w:val="21"/>
        </w:rPr>
        <w:t>选择Excel下载，能够将缴费完成、未完成缴费、所有缴费人员信息按照excel格式下载。</w:t>
      </w:r>
    </w:p>
    <w:p>
      <w:pPr>
        <w:pStyle w:val="3"/>
        <w:ind w:left="780" w:firstLine="0" w:firstLineChars="0"/>
        <w:rPr>
          <w:szCs w:val="21"/>
        </w:rPr>
      </w:pPr>
      <w:r>
        <w:rPr>
          <w:rFonts w:hint="eastAsia"/>
          <w:szCs w:val="21"/>
        </w:rPr>
        <w:t>选择Txt格式，能够将设置为不直接缴费的项目内的人员按照Txt格式导出，需要设置新的缴费方式代码。</w:t>
      </w:r>
    </w:p>
    <w:p>
      <w:pPr>
        <w:pStyle w:val="3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人员批量导入</w:t>
      </w:r>
    </w:p>
    <w:p>
      <w:pPr>
        <w:pStyle w:val="3"/>
        <w:ind w:left="780" w:firstLine="0" w:firstLineChars="0"/>
        <w:rPr>
          <w:szCs w:val="21"/>
        </w:rPr>
      </w:pPr>
      <w:r>
        <w:rPr>
          <w:rFonts w:hint="eastAsia"/>
          <w:szCs w:val="21"/>
        </w:rPr>
        <w:t>若已知需要缴费人员信息，可以点击</w:t>
      </w:r>
      <w:r>
        <w:rPr>
          <w:rFonts w:hint="eastAsia"/>
          <w:szCs w:val="21"/>
        </w:rPr>
        <w:drawing>
          <wp:inline distT="0" distB="0" distL="0" distR="0">
            <wp:extent cx="979170" cy="189865"/>
            <wp:effectExtent l="1905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9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，下载记录人员信息的Excel模板，按照模板录入人员信息。</w:t>
      </w:r>
    </w:p>
    <w:p>
      <w:pPr>
        <w:pStyle w:val="3"/>
        <w:ind w:left="780" w:firstLine="0" w:firstLineChars="0"/>
        <w:rPr>
          <w:szCs w:val="21"/>
        </w:rPr>
      </w:pPr>
      <w:r>
        <w:rPr>
          <w:rFonts w:hint="eastAsia"/>
          <w:szCs w:val="21"/>
        </w:rPr>
        <w:t>Excel模板包括人员编号、人员姓名、身份证号、性别、收费项目编号、邮箱、邮编、地址、家庭电话、第二电话、手机、交易金额、备注13条信息如图4.3-7所示：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5274310" cy="454025"/>
            <wp:effectExtent l="1905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图4.3-7 人员导入Excel模版</w:t>
      </w:r>
    </w:p>
    <w:p>
      <w:pPr>
        <w:ind w:left="420" w:firstLine="420"/>
        <w:rPr>
          <w:szCs w:val="21"/>
        </w:rPr>
      </w:pPr>
      <w:r>
        <w:rPr>
          <w:rFonts w:hint="eastAsia"/>
          <w:b/>
          <w:szCs w:val="21"/>
        </w:rPr>
        <w:t>Excel模板数据要求：</w:t>
      </w:r>
    </w:p>
    <w:p>
      <w:pPr>
        <w:pStyle w:val="3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szCs w:val="21"/>
        </w:rPr>
        <w:t>人员编号、人员姓名必须填写，建议录入身份证号，以供缴费人员确认信息。</w:t>
      </w:r>
    </w:p>
    <w:p>
      <w:pPr>
        <w:pStyle w:val="3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b/>
          <w:color w:val="FF0000"/>
          <w:szCs w:val="21"/>
        </w:rPr>
        <w:t>人员编号</w:t>
      </w:r>
      <w:r>
        <w:rPr>
          <w:rFonts w:hint="eastAsia"/>
          <w:szCs w:val="21"/>
        </w:rPr>
        <w:t>为避免编号重复，建议在校生设置为学号、教职工设置为教职工号、其他人员设置为身份证号。</w:t>
      </w:r>
    </w:p>
    <w:p>
      <w:pPr>
        <w:pStyle w:val="3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b/>
          <w:color w:val="FF0000"/>
          <w:szCs w:val="21"/>
        </w:rPr>
        <w:t>人员姓名</w:t>
      </w:r>
      <w:r>
        <w:rPr>
          <w:rFonts w:hint="eastAsia"/>
          <w:szCs w:val="21"/>
        </w:rPr>
        <w:t>注意人员导入时会验证人员信息，人员姓名不能带有空格。</w:t>
      </w:r>
    </w:p>
    <w:p>
      <w:pPr>
        <w:pStyle w:val="3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b/>
          <w:color w:val="FF0000"/>
          <w:szCs w:val="21"/>
        </w:rPr>
        <w:t>按照项目导入</w:t>
      </w:r>
      <w:r>
        <w:rPr>
          <w:rFonts w:hint="eastAsia"/>
          <w:szCs w:val="21"/>
        </w:rPr>
        <w:t>，收费项目编号不需要填写。在导入前需要选择收费项目如图5.2-2所示的</w:t>
      </w:r>
      <w:r>
        <w:rPr>
          <w:rFonts w:hint="eastAsia"/>
          <w:szCs w:val="21"/>
        </w:rPr>
        <w:drawing>
          <wp:inline distT="0" distB="0" distL="0" distR="0">
            <wp:extent cx="1272540" cy="343535"/>
            <wp:effectExtent l="1905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。</w:t>
      </w:r>
    </w:p>
    <w:p>
      <w:pPr>
        <w:pStyle w:val="3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b/>
          <w:color w:val="FF0000"/>
          <w:szCs w:val="21"/>
        </w:rPr>
        <w:t>不按项目导入，</w:t>
      </w:r>
      <w:r>
        <w:rPr>
          <w:rFonts w:hint="eastAsia"/>
          <w:szCs w:val="21"/>
        </w:rPr>
        <w:t>收费项目编号必须填写。导入前需要将收费项目选择为空。</w:t>
      </w:r>
    </w:p>
    <w:p>
      <w:pPr>
        <w:pStyle w:val="3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b/>
          <w:color w:val="FF0000"/>
          <w:szCs w:val="21"/>
        </w:rPr>
        <w:t>按固定金额导入，</w:t>
      </w:r>
      <w:r>
        <w:rPr>
          <w:rFonts w:hint="eastAsia"/>
          <w:szCs w:val="21"/>
        </w:rPr>
        <w:t>交易金额不需要填写，金额默认为收费批次中项目定义的金额。导入前需要设置收费标准为固定金额，如</w:t>
      </w:r>
      <w:r>
        <w:rPr>
          <w:rFonts w:hint="eastAsia"/>
          <w:szCs w:val="21"/>
        </w:rPr>
        <w:drawing>
          <wp:inline distT="0" distB="0" distL="0" distR="0">
            <wp:extent cx="1440815" cy="263525"/>
            <wp:effectExtent l="19050" t="0" r="698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b/>
          <w:color w:val="FF0000"/>
          <w:szCs w:val="21"/>
        </w:rPr>
        <w:t>自定义金额导入，</w:t>
      </w:r>
      <w:r>
        <w:rPr>
          <w:rFonts w:hint="eastAsia"/>
          <w:szCs w:val="21"/>
        </w:rPr>
        <w:t>交易金额必须填写，导入前需要设置收费标准为自定义金额，如图</w:t>
      </w:r>
      <w:r>
        <w:rPr>
          <w:rFonts w:hint="eastAsia"/>
          <w:szCs w:val="21"/>
        </w:rPr>
        <w:drawing>
          <wp:inline distT="0" distB="0" distL="0" distR="0">
            <wp:extent cx="1455420" cy="321945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</w:p>
    <w:p>
      <w:pPr>
        <w:pStyle w:val="3"/>
        <w:numPr>
          <w:ilvl w:val="0"/>
          <w:numId w:val="7"/>
        </w:numPr>
        <w:ind w:firstLineChars="0"/>
        <w:rPr>
          <w:szCs w:val="21"/>
        </w:rPr>
      </w:pPr>
      <w:r>
        <w:rPr>
          <w:rFonts w:hint="eastAsia"/>
          <w:b/>
          <w:color w:val="FF0000"/>
          <w:szCs w:val="21"/>
        </w:rPr>
        <w:t>备注</w:t>
      </w:r>
      <w:r>
        <w:rPr>
          <w:rFonts w:hint="eastAsia"/>
          <w:szCs w:val="21"/>
        </w:rPr>
        <w:t>导入的缴费人员在缴费时能看到备注信息，以供确认</w:t>
      </w:r>
      <w:r>
        <w:rPr>
          <w:rFonts w:hint="eastAsia"/>
          <w:b/>
          <w:color w:val="FF0000"/>
          <w:szCs w:val="21"/>
        </w:rPr>
        <w:t>。</w:t>
      </w:r>
    </w:p>
    <w:p>
      <w:pPr>
        <w:ind w:left="840"/>
        <w:rPr>
          <w:szCs w:val="21"/>
        </w:rPr>
      </w:pPr>
      <w:r>
        <w:rPr>
          <w:rFonts w:hint="eastAsia"/>
          <w:szCs w:val="21"/>
        </w:rPr>
        <w:t>Excel信息收集完成后，点击</w:t>
      </w:r>
      <w:r>
        <w:rPr>
          <w:rFonts w:hint="eastAsia"/>
          <w:szCs w:val="21"/>
        </w:rPr>
        <w:drawing>
          <wp:inline distT="0" distB="0" distL="0" distR="0">
            <wp:extent cx="658495" cy="285115"/>
            <wp:effectExtent l="19050" t="0" r="825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，按钮选择Excel文件，点击</w:t>
      </w:r>
      <w:r>
        <w:rPr>
          <w:rFonts w:hint="eastAsia"/>
          <w:szCs w:val="21"/>
        </w:rPr>
        <w:drawing>
          <wp:inline distT="0" distB="0" distL="0" distR="0">
            <wp:extent cx="812165" cy="278130"/>
            <wp:effectExtent l="19050" t="0" r="698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完成缴费人员信息导入</w:t>
      </w:r>
    </w:p>
    <w:p>
      <w:pPr>
        <w:ind w:left="840"/>
        <w:rPr>
          <w:szCs w:val="21"/>
        </w:rPr>
      </w:pPr>
    </w:p>
    <w:p>
      <w:pPr>
        <w:pStyle w:val="4"/>
      </w:pPr>
      <w:bookmarkStart w:id="9" w:name="_Toc423889164"/>
      <w:r>
        <w:rPr>
          <w:rFonts w:hint="eastAsia"/>
        </w:rPr>
        <w:t>报表查询</w:t>
      </w:r>
      <w:bookmarkEnd w:id="9"/>
    </w:p>
    <w:p>
      <w:pPr>
        <w:pStyle w:val="3"/>
        <w:ind w:left="720" w:firstLine="0" w:firstLineChars="0"/>
        <w:jc w:val="left"/>
        <w:rPr>
          <w:szCs w:val="21"/>
        </w:rPr>
      </w:pPr>
      <w:r>
        <w:rPr>
          <w:rFonts w:hint="eastAsia"/>
          <w:szCs w:val="21"/>
        </w:rPr>
        <w:t>报表查询主要是查询、统计交费记录。包括项目记录汇总和收费明细报表。</w:t>
      </w:r>
    </w:p>
    <w:p>
      <w:pPr>
        <w:pStyle w:val="5"/>
      </w:pPr>
      <w:bookmarkStart w:id="10" w:name="_Toc423889165"/>
      <w:r>
        <w:rPr>
          <w:rFonts w:hint="eastAsia"/>
        </w:rPr>
        <w:t>项目记录汇总</w:t>
      </w:r>
      <w:bookmarkEnd w:id="10"/>
    </w:p>
    <w:p>
      <w:pPr>
        <w:pStyle w:val="3"/>
        <w:ind w:left="720" w:firstLineChars="0"/>
        <w:jc w:val="left"/>
        <w:rPr>
          <w:szCs w:val="21"/>
        </w:rPr>
      </w:pPr>
      <w:r>
        <w:rPr>
          <w:rFonts w:hint="eastAsia"/>
          <w:szCs w:val="21"/>
        </w:rPr>
        <w:t>项目记录汇总包括项目银行缴费记录汇总和项目交费统计两部分。点击菜单栏报表查询——&gt;项目记录汇总</w:t>
      </w:r>
      <w:r>
        <w:rPr>
          <w:rFonts w:hint="eastAsia"/>
          <w:szCs w:val="21"/>
        </w:rPr>
        <w:drawing>
          <wp:inline distT="0" distB="0" distL="0" distR="0">
            <wp:extent cx="2136775" cy="380365"/>
            <wp:effectExtent l="19050" t="0" r="0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38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。</w:t>
      </w:r>
    </w:p>
    <w:p>
      <w:pPr>
        <w:pStyle w:val="6"/>
      </w:pPr>
      <w:r>
        <w:rPr>
          <w:rFonts w:hint="eastAsia"/>
        </w:rPr>
        <w:t>项目银行缴费记录</w:t>
      </w:r>
    </w:p>
    <w:p>
      <w:pPr>
        <w:ind w:left="1077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如图4.4.1.1-1所示，选择查询的收费（学费收费、其他收费），选择收费期间、收费批次、收费时间、支付状态，点击</w:t>
      </w:r>
      <w:r>
        <w:rPr>
          <w:rFonts w:hint="eastAsia"/>
          <w:szCs w:val="21"/>
        </w:rPr>
        <w:drawing>
          <wp:inline distT="0" distB="0" distL="0" distR="0">
            <wp:extent cx="556260" cy="153035"/>
            <wp:effectExtent l="19050" t="0" r="0" b="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15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按钮，查询银行缴费记录。学费交费可以查询具体的缴费明细，其他交费在缴费成功后可以查询交费明细。</w:t>
      </w:r>
    </w:p>
    <w:p>
      <w:pPr>
        <w:jc w:val="left"/>
        <w:rPr>
          <w:szCs w:val="21"/>
        </w:rPr>
      </w:pPr>
      <w:r>
        <w:rPr>
          <w:szCs w:val="21"/>
        </w:rPr>
        <w:drawing>
          <wp:inline distT="0" distB="0" distL="0" distR="0">
            <wp:extent cx="5271135" cy="1463040"/>
            <wp:effectExtent l="19050" t="0" r="5330" b="0"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 4.4.1.1-1项目银行记录（其他收费）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5274310" cy="1711325"/>
            <wp:effectExtent l="19050" t="0" r="2234" b="0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 4.4.1.1-2项目银行记录（学费收费）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5270500" cy="1360170"/>
            <wp:effectExtent l="19050" t="0" r="5957" b="0"/>
            <wp:docPr id="2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图4.4.1.1-3银行缴费记录明细</w:t>
      </w:r>
    </w:p>
    <w:p>
      <w:pPr>
        <w:pStyle w:val="6"/>
      </w:pPr>
      <w:r>
        <w:rPr>
          <w:rFonts w:hint="eastAsia"/>
        </w:rPr>
        <w:t>项目交费统计</w:t>
      </w:r>
    </w:p>
    <w:p>
      <w:pPr>
        <w:ind w:left="72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项目交费统计主要是查询项目应缴费人员、已缴费人员以及应收、实收、未收金额以监控缴费状况。如图4.4.1.2-1所示，选择项目缴费统计、收费期间、收费批次、收费项目，点击</w:t>
      </w:r>
      <w:r>
        <w:rPr>
          <w:rFonts w:hint="eastAsia"/>
          <w:szCs w:val="21"/>
        </w:rPr>
        <w:drawing>
          <wp:inline distT="0" distB="0" distL="0" distR="0">
            <wp:extent cx="556260" cy="153035"/>
            <wp:effectExtent l="19050" t="0" r="0" b="0"/>
            <wp:docPr id="2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15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按钮进行查询。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drawing>
          <wp:inline distT="0" distB="0" distL="0" distR="0">
            <wp:extent cx="5274310" cy="2026285"/>
            <wp:effectExtent l="19050" t="0" r="2234" b="0"/>
            <wp:docPr id="2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 4.4.1.2-1 项目交费统计</w:t>
      </w:r>
    </w:p>
    <w:p>
      <w:pPr>
        <w:ind w:left="72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查询结果如图4.4.1.2-2所示，可以按条件进一步细化查询。点击</w:t>
      </w:r>
      <w:r>
        <w:rPr>
          <w:rFonts w:hint="eastAsia"/>
          <w:szCs w:val="21"/>
        </w:rPr>
        <w:drawing>
          <wp:inline distT="0" distB="0" distL="0" distR="0">
            <wp:extent cx="810895" cy="197485"/>
            <wp:effectExtent l="19050" t="0" r="7647" b="0"/>
            <wp:docPr id="3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9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按钮可以将统计数据导出为Excel，点击收费统计行的</w:t>
      </w:r>
      <w:r>
        <w:rPr>
          <w:rFonts w:hint="eastAsia"/>
          <w:szCs w:val="21"/>
        </w:rPr>
        <w:drawing>
          <wp:inline distT="0" distB="0" distL="0" distR="0">
            <wp:extent cx="789305" cy="123825"/>
            <wp:effectExtent l="19050" t="0" r="0" b="0"/>
            <wp:docPr id="3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2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，查询具体的人员缴费信息，如图4.4.1.2-3所示。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5262880" cy="1067435"/>
            <wp:effectExtent l="19050" t="0" r="0" b="0"/>
            <wp:docPr id="3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图4.4.1.2-2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5274310" cy="833755"/>
            <wp:effectExtent l="19050" t="0" r="2235" b="0"/>
            <wp:docPr id="36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 4.4.1.2-3人员缴费明细</w:t>
      </w:r>
    </w:p>
    <w:p>
      <w:pPr>
        <w:pStyle w:val="5"/>
      </w:pPr>
      <w:bookmarkStart w:id="11" w:name="_Toc423889166"/>
      <w:r>
        <w:rPr>
          <w:rFonts w:hint="eastAsia"/>
        </w:rPr>
        <w:t>收费明细报表</w:t>
      </w:r>
      <w:bookmarkEnd w:id="11"/>
    </w:p>
    <w:p>
      <w:pPr>
        <w:ind w:left="72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点击菜单栏报表查询——&gt;收费明细报表。进入如图4.4.2-1所示，选择收费时间段、查询内容（其他收费、学费收费）、收费批次、收费项目，点击</w:t>
      </w:r>
      <w:r>
        <w:rPr>
          <w:rFonts w:hint="eastAsia"/>
          <w:szCs w:val="21"/>
        </w:rPr>
        <w:drawing>
          <wp:inline distT="0" distB="0" distL="0" distR="0">
            <wp:extent cx="723900" cy="263525"/>
            <wp:effectExtent l="19050" t="0" r="0" b="0"/>
            <wp:docPr id="4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按钮，生成具体的报表。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drawing>
          <wp:inline distT="0" distB="0" distL="0" distR="0">
            <wp:extent cx="5264785" cy="1645920"/>
            <wp:effectExtent l="19050" t="0" r="0" b="0"/>
            <wp:docPr id="4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图4.4.2-1 收费明细报表查询条件</w:t>
      </w:r>
    </w:p>
    <w:p>
      <w:pPr>
        <w:ind w:left="720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收费明细报表如图4.4.2-2所示，点击报表菜单栏的</w:t>
      </w:r>
      <w:r>
        <w:rPr>
          <w:rFonts w:hint="eastAsia"/>
          <w:szCs w:val="21"/>
        </w:rPr>
        <w:drawing>
          <wp:inline distT="0" distB="0" distL="0" distR="0">
            <wp:extent cx="446405" cy="219710"/>
            <wp:effectExtent l="1905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，可以将报表保存到本地（支持excel、pdf、word），点击</w:t>
      </w:r>
      <w:r>
        <w:rPr>
          <w:rFonts w:hint="eastAsia"/>
          <w:szCs w:val="21"/>
        </w:rPr>
        <w:drawing>
          <wp:inline distT="0" distB="0" distL="0" distR="0">
            <wp:extent cx="241300" cy="190500"/>
            <wp:effectExtent l="19050" t="0" r="635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按钮，可以打印报表。注：非IE浏览器没有打印功能。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5269230" cy="1638300"/>
            <wp:effectExtent l="19050" t="0" r="7539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 4.4.2-2 收费明细报表</w:t>
      </w:r>
    </w:p>
    <w:p>
      <w:pPr>
        <w:pStyle w:val="5"/>
      </w:pPr>
      <w:bookmarkStart w:id="12" w:name="_Toc423889167"/>
      <w:r>
        <w:rPr>
          <w:rFonts w:hint="eastAsia"/>
        </w:rPr>
        <w:t>收费汇总报表</w:t>
      </w:r>
      <w:bookmarkEnd w:id="12"/>
    </w:p>
    <w:p>
      <w:pPr>
        <w:ind w:left="720" w:firstLine="420"/>
        <w:jc w:val="left"/>
        <w:rPr>
          <w:szCs w:val="21"/>
        </w:rPr>
      </w:pPr>
      <w:r>
        <w:rPr>
          <w:rFonts w:hint="eastAsia"/>
          <w:szCs w:val="21"/>
        </w:rPr>
        <w:t>点击菜单栏报表查询——&gt;收费汇总报表。进入如图4.4.3-1所示，可以按天或时间段生成收费汇总报表。</w:t>
      </w:r>
    </w:p>
    <w:p>
      <w:pPr>
        <w:ind w:left="720" w:firstLine="420"/>
        <w:jc w:val="left"/>
        <w:rPr>
          <w:szCs w:val="21"/>
        </w:rPr>
      </w:pPr>
      <w:r>
        <w:rPr>
          <w:rFonts w:hint="eastAsia"/>
          <w:szCs w:val="21"/>
        </w:rPr>
        <w:t>选择需要生成报表的时间段、收费批次以及需要生成的统计类型，点击生成报表按钮。如图4.4.3-2、4.4-3所示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5274310" cy="621665"/>
            <wp:effectExtent l="19050" t="0" r="2239" b="0"/>
            <wp:docPr id="5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图4.4.3-1 收费汇总表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5274310" cy="2150110"/>
            <wp:effectExtent l="19050" t="0" r="2235" b="0"/>
            <wp:docPr id="6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 4.4.3-2 日汇总报表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drawing>
          <wp:inline distT="0" distB="0" distL="0" distR="0">
            <wp:extent cx="5274310" cy="1974850"/>
            <wp:effectExtent l="19050" t="0" r="2235" b="0"/>
            <wp:docPr id="6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 4.4.3-3 时间段汇总报表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323157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A83"/>
    <w:multiLevelType w:val="multilevel"/>
    <w:tmpl w:val="0C4B4A83"/>
    <w:lvl w:ilvl="0" w:tentative="0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decimal"/>
      <w:lvlText w:val="%3、"/>
      <w:lvlJc w:val="left"/>
      <w:pPr>
        <w:ind w:left="1665" w:hanging="405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ind w:left="204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807538"/>
    <w:multiLevelType w:val="multilevel"/>
    <w:tmpl w:val="28807538"/>
    <w:lvl w:ilvl="0" w:tentative="0">
      <w:start w:val="1"/>
      <w:numFmt w:val="decimal"/>
      <w:lvlText w:val="%1"/>
      <w:lvlJc w:val="left"/>
      <w:pPr>
        <w:ind w:left="78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B00592C"/>
    <w:multiLevelType w:val="multilevel"/>
    <w:tmpl w:val="2B00592C"/>
    <w:lvl w:ilvl="0" w:tentative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-%2、"/>
      <w:lvlJc w:val="left"/>
      <w:pPr>
        <w:ind w:left="1560" w:hanging="720"/>
      </w:pPr>
      <w:rPr>
        <w:rFonts w:hint="default"/>
      </w:rPr>
    </w:lvl>
    <w:lvl w:ilvl="2" w:tentative="0">
      <w:start w:val="1"/>
      <w:numFmt w:val="decimal"/>
      <w:lvlText w:val="%1-%2、%3."/>
      <w:lvlJc w:val="left"/>
      <w:pPr>
        <w:ind w:left="2400" w:hanging="720"/>
      </w:pPr>
      <w:rPr>
        <w:rFonts w:hint="default"/>
      </w:rPr>
    </w:lvl>
    <w:lvl w:ilvl="3" w:tentative="0">
      <w:start w:val="1"/>
      <w:numFmt w:val="decimal"/>
      <w:lvlText w:val="%1-%2、%3.%4."/>
      <w:lvlJc w:val="left"/>
      <w:pPr>
        <w:ind w:left="3600" w:hanging="1080"/>
      </w:pPr>
      <w:rPr>
        <w:rFonts w:hint="default"/>
      </w:rPr>
    </w:lvl>
    <w:lvl w:ilvl="4" w:tentative="0">
      <w:start w:val="1"/>
      <w:numFmt w:val="decimal"/>
      <w:lvlText w:val="%1-%2、%3.%4.%5."/>
      <w:lvlJc w:val="left"/>
      <w:pPr>
        <w:ind w:left="4440" w:hanging="1080"/>
      </w:pPr>
      <w:rPr>
        <w:rFonts w:hint="default"/>
      </w:rPr>
    </w:lvl>
    <w:lvl w:ilvl="5" w:tentative="0">
      <w:start w:val="1"/>
      <w:numFmt w:val="decimal"/>
      <w:lvlText w:val="%1-%2、%3.%4.%5.%6."/>
      <w:lvlJc w:val="left"/>
      <w:pPr>
        <w:ind w:left="5640" w:hanging="1440"/>
      </w:pPr>
      <w:rPr>
        <w:rFonts w:hint="default"/>
      </w:rPr>
    </w:lvl>
    <w:lvl w:ilvl="6" w:tentative="0">
      <w:start w:val="1"/>
      <w:numFmt w:val="decimal"/>
      <w:lvlText w:val="%1-%2、%3.%4.%5.%6.%7."/>
      <w:lvlJc w:val="left"/>
      <w:pPr>
        <w:ind w:left="6480" w:hanging="1440"/>
      </w:pPr>
      <w:rPr>
        <w:rFonts w:hint="default"/>
      </w:rPr>
    </w:lvl>
    <w:lvl w:ilvl="7" w:tentative="0">
      <w:start w:val="1"/>
      <w:numFmt w:val="decimal"/>
      <w:lvlText w:val="%1-%2、%3.%4.%5.%6.%7.%8."/>
      <w:lvlJc w:val="left"/>
      <w:pPr>
        <w:ind w:left="7320" w:hanging="1440"/>
      </w:pPr>
      <w:rPr>
        <w:rFonts w:hint="default"/>
      </w:rPr>
    </w:lvl>
    <w:lvl w:ilvl="8" w:tentative="0">
      <w:start w:val="1"/>
      <w:numFmt w:val="decimal"/>
      <w:lvlText w:val="%1-%2、%3.%4.%5.%6.%7.%8.%9."/>
      <w:lvlJc w:val="left"/>
      <w:pPr>
        <w:ind w:left="8520" w:hanging="1800"/>
      </w:pPr>
      <w:rPr>
        <w:rFonts w:hint="default"/>
      </w:rPr>
    </w:lvl>
  </w:abstractNum>
  <w:abstractNum w:abstractNumId="3">
    <w:nsid w:val="3B0A2197"/>
    <w:multiLevelType w:val="multilevel"/>
    <w:tmpl w:val="3B0A2197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07759CA"/>
    <w:multiLevelType w:val="multilevel"/>
    <w:tmpl w:val="407759C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D1366D1"/>
    <w:multiLevelType w:val="multilevel"/>
    <w:tmpl w:val="5D1366D1"/>
    <w:lvl w:ilvl="0" w:tentative="0">
      <w:start w:val="1"/>
      <w:numFmt w:val="lowerLetter"/>
      <w:lvlText w:val="%1、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7EE57C23"/>
    <w:multiLevelType w:val="multilevel"/>
    <w:tmpl w:val="7EE57C23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pStyle w:val="4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pStyle w:val="6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F4D"/>
    <w:rsid w:val="0000653C"/>
    <w:rsid w:val="00030C27"/>
    <w:rsid w:val="00031FF8"/>
    <w:rsid w:val="00034569"/>
    <w:rsid w:val="00041052"/>
    <w:rsid w:val="00062651"/>
    <w:rsid w:val="000646AF"/>
    <w:rsid w:val="00090DA0"/>
    <w:rsid w:val="00093892"/>
    <w:rsid w:val="00097DC7"/>
    <w:rsid w:val="000A052D"/>
    <w:rsid w:val="000A1F93"/>
    <w:rsid w:val="000B6297"/>
    <w:rsid w:val="000C7569"/>
    <w:rsid w:val="000F16C1"/>
    <w:rsid w:val="000F44B5"/>
    <w:rsid w:val="000F51E2"/>
    <w:rsid w:val="000F7376"/>
    <w:rsid w:val="00101107"/>
    <w:rsid w:val="00114FB0"/>
    <w:rsid w:val="001173BB"/>
    <w:rsid w:val="0012084A"/>
    <w:rsid w:val="00121331"/>
    <w:rsid w:val="00123374"/>
    <w:rsid w:val="001233E9"/>
    <w:rsid w:val="00124F7A"/>
    <w:rsid w:val="00142449"/>
    <w:rsid w:val="00145B25"/>
    <w:rsid w:val="001569FC"/>
    <w:rsid w:val="00165CCC"/>
    <w:rsid w:val="00173266"/>
    <w:rsid w:val="001A076A"/>
    <w:rsid w:val="001B1320"/>
    <w:rsid w:val="001C2544"/>
    <w:rsid w:val="001D4BB7"/>
    <w:rsid w:val="001E45ED"/>
    <w:rsid w:val="001E6D32"/>
    <w:rsid w:val="001F332C"/>
    <w:rsid w:val="00204DCB"/>
    <w:rsid w:val="002118C6"/>
    <w:rsid w:val="00214421"/>
    <w:rsid w:val="002362F7"/>
    <w:rsid w:val="00241AE8"/>
    <w:rsid w:val="00244105"/>
    <w:rsid w:val="00244FBD"/>
    <w:rsid w:val="0026139A"/>
    <w:rsid w:val="00267E72"/>
    <w:rsid w:val="00274015"/>
    <w:rsid w:val="002747BA"/>
    <w:rsid w:val="002759DA"/>
    <w:rsid w:val="00275EC9"/>
    <w:rsid w:val="00281215"/>
    <w:rsid w:val="00283B54"/>
    <w:rsid w:val="00286EDE"/>
    <w:rsid w:val="00292DDB"/>
    <w:rsid w:val="0029357F"/>
    <w:rsid w:val="002A1135"/>
    <w:rsid w:val="002A29FC"/>
    <w:rsid w:val="002A5D36"/>
    <w:rsid w:val="002A6A5A"/>
    <w:rsid w:val="002B1AC7"/>
    <w:rsid w:val="002E285C"/>
    <w:rsid w:val="002F2757"/>
    <w:rsid w:val="003006DA"/>
    <w:rsid w:val="003012FD"/>
    <w:rsid w:val="00302E70"/>
    <w:rsid w:val="00311FB4"/>
    <w:rsid w:val="0033092D"/>
    <w:rsid w:val="0033115F"/>
    <w:rsid w:val="00333B50"/>
    <w:rsid w:val="00340DFA"/>
    <w:rsid w:val="003502D7"/>
    <w:rsid w:val="00393C99"/>
    <w:rsid w:val="003C2CE3"/>
    <w:rsid w:val="003C3180"/>
    <w:rsid w:val="003E0025"/>
    <w:rsid w:val="003E2E9E"/>
    <w:rsid w:val="003E3DF1"/>
    <w:rsid w:val="003E4CB3"/>
    <w:rsid w:val="00406490"/>
    <w:rsid w:val="00414800"/>
    <w:rsid w:val="00416568"/>
    <w:rsid w:val="00416ADE"/>
    <w:rsid w:val="00426E34"/>
    <w:rsid w:val="004419A8"/>
    <w:rsid w:val="00455CAB"/>
    <w:rsid w:val="004569BA"/>
    <w:rsid w:val="0046136B"/>
    <w:rsid w:val="004731F0"/>
    <w:rsid w:val="004765BF"/>
    <w:rsid w:val="00477F3B"/>
    <w:rsid w:val="0048106A"/>
    <w:rsid w:val="004859F3"/>
    <w:rsid w:val="004961BA"/>
    <w:rsid w:val="004D40C2"/>
    <w:rsid w:val="004F22A4"/>
    <w:rsid w:val="005003BA"/>
    <w:rsid w:val="00504955"/>
    <w:rsid w:val="005059A6"/>
    <w:rsid w:val="00506990"/>
    <w:rsid w:val="005137C3"/>
    <w:rsid w:val="00516A61"/>
    <w:rsid w:val="00520591"/>
    <w:rsid w:val="005210E6"/>
    <w:rsid w:val="00524C63"/>
    <w:rsid w:val="005337B1"/>
    <w:rsid w:val="00540E34"/>
    <w:rsid w:val="00541B2F"/>
    <w:rsid w:val="00547E2D"/>
    <w:rsid w:val="00556539"/>
    <w:rsid w:val="005705BD"/>
    <w:rsid w:val="00580866"/>
    <w:rsid w:val="005910D6"/>
    <w:rsid w:val="00592C44"/>
    <w:rsid w:val="005B17BC"/>
    <w:rsid w:val="005D2AC9"/>
    <w:rsid w:val="005D7B38"/>
    <w:rsid w:val="005E7071"/>
    <w:rsid w:val="005F5778"/>
    <w:rsid w:val="00614703"/>
    <w:rsid w:val="0061695E"/>
    <w:rsid w:val="006258B1"/>
    <w:rsid w:val="00635519"/>
    <w:rsid w:val="00635701"/>
    <w:rsid w:val="00643D0C"/>
    <w:rsid w:val="00663ABF"/>
    <w:rsid w:val="00683332"/>
    <w:rsid w:val="006A0E58"/>
    <w:rsid w:val="006A4EB2"/>
    <w:rsid w:val="006C6DF8"/>
    <w:rsid w:val="006F5B2D"/>
    <w:rsid w:val="0071519D"/>
    <w:rsid w:val="00716EB6"/>
    <w:rsid w:val="00721A3D"/>
    <w:rsid w:val="00735949"/>
    <w:rsid w:val="0073649C"/>
    <w:rsid w:val="0074455A"/>
    <w:rsid w:val="00745B3C"/>
    <w:rsid w:val="00756D7D"/>
    <w:rsid w:val="0077484A"/>
    <w:rsid w:val="00777365"/>
    <w:rsid w:val="00780377"/>
    <w:rsid w:val="0078301B"/>
    <w:rsid w:val="0078614F"/>
    <w:rsid w:val="0078710A"/>
    <w:rsid w:val="00795E83"/>
    <w:rsid w:val="007A1FCE"/>
    <w:rsid w:val="007B1203"/>
    <w:rsid w:val="007C5242"/>
    <w:rsid w:val="007C57B6"/>
    <w:rsid w:val="007D05F4"/>
    <w:rsid w:val="007D70EE"/>
    <w:rsid w:val="007E04CA"/>
    <w:rsid w:val="00802370"/>
    <w:rsid w:val="0080706D"/>
    <w:rsid w:val="008103E7"/>
    <w:rsid w:val="00821DD0"/>
    <w:rsid w:val="00827505"/>
    <w:rsid w:val="00834270"/>
    <w:rsid w:val="00835C7C"/>
    <w:rsid w:val="00847014"/>
    <w:rsid w:val="0085062D"/>
    <w:rsid w:val="00863B7F"/>
    <w:rsid w:val="00885F4D"/>
    <w:rsid w:val="008965E9"/>
    <w:rsid w:val="008971A2"/>
    <w:rsid w:val="008A0242"/>
    <w:rsid w:val="008A7F5D"/>
    <w:rsid w:val="008B18B0"/>
    <w:rsid w:val="008B22AB"/>
    <w:rsid w:val="008D189A"/>
    <w:rsid w:val="008E5FE7"/>
    <w:rsid w:val="008F3109"/>
    <w:rsid w:val="0090764C"/>
    <w:rsid w:val="00924F52"/>
    <w:rsid w:val="0093687D"/>
    <w:rsid w:val="009722B1"/>
    <w:rsid w:val="0097782A"/>
    <w:rsid w:val="0099462C"/>
    <w:rsid w:val="009A07E1"/>
    <w:rsid w:val="009A4BCC"/>
    <w:rsid w:val="009B0F4A"/>
    <w:rsid w:val="009B41EE"/>
    <w:rsid w:val="009C18A1"/>
    <w:rsid w:val="009C3B34"/>
    <w:rsid w:val="009E0D93"/>
    <w:rsid w:val="009E1A40"/>
    <w:rsid w:val="009F085C"/>
    <w:rsid w:val="009F133C"/>
    <w:rsid w:val="009F6370"/>
    <w:rsid w:val="00A20A76"/>
    <w:rsid w:val="00A35635"/>
    <w:rsid w:val="00A35FE1"/>
    <w:rsid w:val="00A64B07"/>
    <w:rsid w:val="00A651BE"/>
    <w:rsid w:val="00A812EF"/>
    <w:rsid w:val="00A93F08"/>
    <w:rsid w:val="00A95E74"/>
    <w:rsid w:val="00AA0D5B"/>
    <w:rsid w:val="00AC5D7E"/>
    <w:rsid w:val="00AD067C"/>
    <w:rsid w:val="00AD120E"/>
    <w:rsid w:val="00AF00C0"/>
    <w:rsid w:val="00AF423F"/>
    <w:rsid w:val="00B06939"/>
    <w:rsid w:val="00B12340"/>
    <w:rsid w:val="00B21A7E"/>
    <w:rsid w:val="00B23280"/>
    <w:rsid w:val="00B260A6"/>
    <w:rsid w:val="00B4606A"/>
    <w:rsid w:val="00B46F5C"/>
    <w:rsid w:val="00B52980"/>
    <w:rsid w:val="00B709DA"/>
    <w:rsid w:val="00B932E6"/>
    <w:rsid w:val="00BA035B"/>
    <w:rsid w:val="00BA2819"/>
    <w:rsid w:val="00BA43EF"/>
    <w:rsid w:val="00BA7F91"/>
    <w:rsid w:val="00BB068F"/>
    <w:rsid w:val="00BB2CC4"/>
    <w:rsid w:val="00BC12A6"/>
    <w:rsid w:val="00BC636C"/>
    <w:rsid w:val="00BC7E1F"/>
    <w:rsid w:val="00BD2494"/>
    <w:rsid w:val="00BE63AB"/>
    <w:rsid w:val="00BF0001"/>
    <w:rsid w:val="00C21668"/>
    <w:rsid w:val="00C2452D"/>
    <w:rsid w:val="00C31951"/>
    <w:rsid w:val="00C35F60"/>
    <w:rsid w:val="00C41FFD"/>
    <w:rsid w:val="00C62F43"/>
    <w:rsid w:val="00C70B6C"/>
    <w:rsid w:val="00C7365E"/>
    <w:rsid w:val="00C753F3"/>
    <w:rsid w:val="00C77552"/>
    <w:rsid w:val="00C93ABA"/>
    <w:rsid w:val="00CC6CC6"/>
    <w:rsid w:val="00CD2A4B"/>
    <w:rsid w:val="00CE5D25"/>
    <w:rsid w:val="00CF34CC"/>
    <w:rsid w:val="00D2508B"/>
    <w:rsid w:val="00D32343"/>
    <w:rsid w:val="00D46E03"/>
    <w:rsid w:val="00D47185"/>
    <w:rsid w:val="00D55875"/>
    <w:rsid w:val="00D60E91"/>
    <w:rsid w:val="00D70157"/>
    <w:rsid w:val="00D76336"/>
    <w:rsid w:val="00D97936"/>
    <w:rsid w:val="00DA09D0"/>
    <w:rsid w:val="00DA75CC"/>
    <w:rsid w:val="00DB1C51"/>
    <w:rsid w:val="00DC0CE0"/>
    <w:rsid w:val="00DC5047"/>
    <w:rsid w:val="00DD0337"/>
    <w:rsid w:val="00DD2A56"/>
    <w:rsid w:val="00DD4EAB"/>
    <w:rsid w:val="00DE053A"/>
    <w:rsid w:val="00DE2E64"/>
    <w:rsid w:val="00DE3AA9"/>
    <w:rsid w:val="00DE4331"/>
    <w:rsid w:val="00E0034E"/>
    <w:rsid w:val="00E029CB"/>
    <w:rsid w:val="00E03DC7"/>
    <w:rsid w:val="00E047CE"/>
    <w:rsid w:val="00E12356"/>
    <w:rsid w:val="00E246DF"/>
    <w:rsid w:val="00E40F7E"/>
    <w:rsid w:val="00E52883"/>
    <w:rsid w:val="00E57E95"/>
    <w:rsid w:val="00E601C4"/>
    <w:rsid w:val="00E60978"/>
    <w:rsid w:val="00E82344"/>
    <w:rsid w:val="00EA60D4"/>
    <w:rsid w:val="00EC6555"/>
    <w:rsid w:val="00ED03AA"/>
    <w:rsid w:val="00ED08BB"/>
    <w:rsid w:val="00ED3508"/>
    <w:rsid w:val="00ED471A"/>
    <w:rsid w:val="00EE1817"/>
    <w:rsid w:val="00EE279C"/>
    <w:rsid w:val="00EF0A98"/>
    <w:rsid w:val="00EF582F"/>
    <w:rsid w:val="00EF6173"/>
    <w:rsid w:val="00EF6DC4"/>
    <w:rsid w:val="00F0621C"/>
    <w:rsid w:val="00F126A9"/>
    <w:rsid w:val="00F314A3"/>
    <w:rsid w:val="00F35AC5"/>
    <w:rsid w:val="00F35FF9"/>
    <w:rsid w:val="00F462E1"/>
    <w:rsid w:val="00F55E63"/>
    <w:rsid w:val="00F5660A"/>
    <w:rsid w:val="00F62513"/>
    <w:rsid w:val="00F63037"/>
    <w:rsid w:val="00F70D99"/>
    <w:rsid w:val="00F70DBF"/>
    <w:rsid w:val="00F76C45"/>
    <w:rsid w:val="00F77061"/>
    <w:rsid w:val="00F83B76"/>
    <w:rsid w:val="00F92D6D"/>
    <w:rsid w:val="00FA2BEB"/>
    <w:rsid w:val="00FA4BD8"/>
    <w:rsid w:val="00FA4DF2"/>
    <w:rsid w:val="00FB3DF6"/>
    <w:rsid w:val="00FB7126"/>
    <w:rsid w:val="00FB72DE"/>
    <w:rsid w:val="00FD3E0E"/>
    <w:rsid w:val="00FE2862"/>
    <w:rsid w:val="00FF02FD"/>
    <w:rsid w:val="2B4A2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1"/>
        <o:r id="V:Rule2" type="connector" idref="#_x0000_s1045"/>
        <o:r id="V:Rule3" type="connector" idref="#_x0000_s1073"/>
        <o:r id="V:Rule4" type="connector" idref="#_x0000_s1074"/>
        <o:r id="V:Rule5" type="connector" idref="#_x0000_s1081"/>
        <o:r id="V:Rule6" type="connector" idref="#_x0000_s1083"/>
        <o:r id="V:Rule7" type="connector" idref="#_x0000_s1084"/>
        <o:r id="V:Rule8" type="connector" idref="#_x0000_s108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3"/>
    <w:qFormat/>
    <w:uiPriority w:val="9"/>
    <w:pPr>
      <w:numPr>
        <w:ilvl w:val="0"/>
        <w:numId w:val="1"/>
      </w:numPr>
      <w:ind w:firstLine="0" w:firstLineChars="0"/>
      <w:jc w:val="left"/>
      <w:outlineLvl w:val="0"/>
    </w:pPr>
    <w:rPr>
      <w:b/>
      <w:sz w:val="28"/>
      <w:szCs w:val="28"/>
    </w:rPr>
  </w:style>
  <w:style w:type="paragraph" w:styleId="4">
    <w:name w:val="heading 2"/>
    <w:basedOn w:val="3"/>
    <w:next w:val="1"/>
    <w:link w:val="24"/>
    <w:unhideWhenUsed/>
    <w:qFormat/>
    <w:uiPriority w:val="9"/>
    <w:pPr>
      <w:numPr>
        <w:ilvl w:val="1"/>
        <w:numId w:val="1"/>
      </w:numPr>
      <w:ind w:firstLine="0" w:firstLineChars="0"/>
      <w:jc w:val="left"/>
      <w:outlineLvl w:val="1"/>
    </w:pPr>
    <w:rPr>
      <w:b/>
      <w:sz w:val="24"/>
      <w:szCs w:val="24"/>
    </w:rPr>
  </w:style>
  <w:style w:type="paragraph" w:styleId="5">
    <w:name w:val="heading 3"/>
    <w:basedOn w:val="3"/>
    <w:next w:val="1"/>
    <w:link w:val="25"/>
    <w:unhideWhenUsed/>
    <w:qFormat/>
    <w:uiPriority w:val="9"/>
    <w:pPr>
      <w:numPr>
        <w:ilvl w:val="2"/>
        <w:numId w:val="1"/>
      </w:numPr>
      <w:ind w:firstLine="0" w:firstLineChars="0"/>
      <w:jc w:val="left"/>
      <w:outlineLvl w:val="2"/>
    </w:pPr>
    <w:rPr>
      <w:b/>
      <w:szCs w:val="21"/>
    </w:rPr>
  </w:style>
  <w:style w:type="paragraph" w:styleId="6">
    <w:name w:val="heading 4"/>
    <w:basedOn w:val="3"/>
    <w:next w:val="1"/>
    <w:link w:val="26"/>
    <w:unhideWhenUsed/>
    <w:qFormat/>
    <w:uiPriority w:val="9"/>
    <w:pPr>
      <w:numPr>
        <w:ilvl w:val="3"/>
        <w:numId w:val="1"/>
      </w:numPr>
      <w:ind w:left="1440" w:firstLine="0" w:firstLineChars="0"/>
      <w:jc w:val="left"/>
      <w:outlineLvl w:val="3"/>
    </w:pPr>
    <w:rPr>
      <w:b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7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ody Text Indent 2"/>
    <w:basedOn w:val="1"/>
    <w:link w:val="20"/>
    <w:semiHidden/>
    <w:qFormat/>
    <w:uiPriority w:val="0"/>
    <w:pPr>
      <w:ind w:firstLine="420"/>
    </w:pPr>
    <w:rPr>
      <w:rFonts w:ascii="Times New Roman" w:hAnsi="Times New Roman" w:eastAsia="宋体" w:cs="Times New Roman"/>
      <w:sz w:val="24"/>
      <w:szCs w:val="24"/>
    </w:rPr>
  </w:style>
  <w:style w:type="paragraph" w:styleId="10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20">
    <w:name w:val="正文文本缩进 2 Char"/>
    <w:basedOn w:val="16"/>
    <w:link w:val="9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批注框文本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2">
    <w:name w:val="文档结构图 Char"/>
    <w:basedOn w:val="16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3">
    <w:name w:val="标题 1 Char"/>
    <w:basedOn w:val="16"/>
    <w:link w:val="2"/>
    <w:qFormat/>
    <w:uiPriority w:val="9"/>
    <w:rPr>
      <w:b/>
      <w:sz w:val="28"/>
      <w:szCs w:val="28"/>
    </w:rPr>
  </w:style>
  <w:style w:type="character" w:customStyle="1" w:styleId="24">
    <w:name w:val="标题 2 Char"/>
    <w:basedOn w:val="16"/>
    <w:link w:val="4"/>
    <w:qFormat/>
    <w:uiPriority w:val="9"/>
    <w:rPr>
      <w:b/>
      <w:sz w:val="24"/>
      <w:szCs w:val="24"/>
    </w:rPr>
  </w:style>
  <w:style w:type="character" w:customStyle="1" w:styleId="25">
    <w:name w:val="标题 3 Char"/>
    <w:basedOn w:val="16"/>
    <w:link w:val="5"/>
    <w:qFormat/>
    <w:uiPriority w:val="9"/>
    <w:rPr>
      <w:b/>
      <w:szCs w:val="21"/>
    </w:rPr>
  </w:style>
  <w:style w:type="character" w:customStyle="1" w:styleId="26">
    <w:name w:val="标题 4 Char"/>
    <w:basedOn w:val="16"/>
    <w:link w:val="6"/>
    <w:qFormat/>
    <w:uiPriority w:val="9"/>
    <w:rPr>
      <w:b/>
      <w:szCs w:val="21"/>
    </w:rPr>
  </w:style>
  <w:style w:type="paragraph" w:customStyle="1" w:styleId="27">
    <w:name w:val="TOC Heading"/>
    <w:basedOn w:val="2"/>
    <w:next w:val="1"/>
    <w:semiHidden/>
    <w:unhideWhenUsed/>
    <w:qFormat/>
    <w:uiPriority w:val="39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6" Type="http://schemas.openxmlformats.org/officeDocument/2006/relationships/fontTable" Target="fontTable.xml"/><Relationship Id="rId55" Type="http://schemas.openxmlformats.org/officeDocument/2006/relationships/customXml" Target="../customXml/item2.xml"/><Relationship Id="rId54" Type="http://schemas.openxmlformats.org/officeDocument/2006/relationships/numbering" Target="numbering.xml"/><Relationship Id="rId53" Type="http://schemas.openxmlformats.org/officeDocument/2006/relationships/customXml" Target="../customXml/item1.xml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0"/>
    <customShpInfo spid="_x0000_s1064"/>
    <customShpInfo spid="_x0000_s1041"/>
    <customShpInfo spid="_x0000_s1047"/>
    <customShpInfo spid="_x0000_s1043"/>
    <customShpInfo spid="_x0000_s1045"/>
    <customShpInfo spid="_x0000_s1034"/>
    <customShpInfo spid="_x0000_s1060"/>
    <customShpInfo spid="_x0000_s1061"/>
    <customShpInfo spid="_x0000_s1062"/>
    <customShpInfo spid="_x0000_s1073"/>
    <customShpInfo spid="_x0000_s1074"/>
    <customShpInfo spid="_x0000_s1075"/>
    <customShpInfo spid="_x0000_s1076"/>
    <customShpInfo spid="_x0000_s1077"/>
    <customShpInfo spid="_x0000_s1027"/>
    <customShpInfo spid="_x0000_s1036"/>
    <customShpInfo spid="_x0000_s1026"/>
    <customShpInfo spid="_x0000_s1079"/>
    <customShpInfo spid="_x0000_s1081"/>
    <customShpInfo spid="_x0000_s1083"/>
    <customShpInfo spid="_x0000_s1084"/>
    <customShpInfo spid="_x0000_s1085"/>
    <customShpInfo spid="_x0000_s1086"/>
    <customShpInfo spid="_x0000_s1087"/>
    <customShpInfo spid="_x0000_s1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ABC63-1549-4F09-8097-31D519622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830</Words>
  <Characters>4737</Characters>
  <Lines>39</Lines>
  <Paragraphs>11</Paragraphs>
  <TotalTime>718</TotalTime>
  <ScaleCrop>false</ScaleCrop>
  <LinksUpToDate>false</LinksUpToDate>
  <CharactersWithSpaces>5556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2013-12-06T08:46:00Z</dcterms:created>
  <dc:creator>张博</dc:creator>
  <cp:lastModifiedBy>斌</cp:lastModifiedBy>
  <dcterms:modified xsi:type="dcterms:W3CDTF">2022-03-08T01:39:39Z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9B3CF63FE7284BA5897161F1F716B43D</vt:lpwstr>
  </property>
</Properties>
</file>